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heme="minorBidi" w:hAnsiTheme="minorBidi"/>
          <w:b/>
          <w:sz w:val="32"/>
          <w:szCs w:val="32"/>
          <w:lang w:val="en-US"/>
        </w:rPr>
      </w:pPr>
      <w:r>
        <w:rPr>
          <w:rFonts w:asciiTheme="minorBidi" w:hAnsiTheme="minorBidi"/>
          <w:b/>
          <w:sz w:val="32"/>
          <w:szCs w:val="32"/>
          <w:lang w:val="en-US"/>
        </w:rPr>
        <w:t>ANIMATION VIDEO AS A LEARNING MEDIA FOR EARTHQUAKE DISASTER PREPAREDNESS IN EARLY CHILDREN</w:t>
      </w:r>
    </w:p>
    <w:p>
      <w:pPr>
        <w:spacing w:after="0" w:line="240" w:lineRule="auto"/>
        <w:jc w:val="center"/>
        <w:rPr>
          <w:rFonts w:asciiTheme="minorBidi" w:hAnsiTheme="minorBidi"/>
          <w:b/>
          <w:sz w:val="32"/>
          <w:szCs w:val="32"/>
          <w:lang w:val="en-US"/>
        </w:rPr>
      </w:pPr>
    </w:p>
    <w:p>
      <w:pPr>
        <w:spacing w:after="0" w:line="240" w:lineRule="auto"/>
        <w:jc w:val="center"/>
        <w:rPr>
          <w:rFonts w:asciiTheme="minorBidi" w:hAnsiTheme="minorBidi"/>
          <w:b/>
          <w:sz w:val="32"/>
          <w:szCs w:val="32"/>
          <w:lang w:val="en-US"/>
        </w:rPr>
      </w:pPr>
    </w:p>
    <w:p>
      <w:pPr>
        <w:spacing w:after="0" w:line="240" w:lineRule="auto"/>
        <w:jc w:val="center"/>
        <w:rPr>
          <w:rFonts w:ascii="Times New Roman" w:hAnsi="Times New Roman" w:cs="Times New Roman"/>
          <w:sz w:val="24"/>
          <w:szCs w:val="24"/>
          <w:lang w:val="en-US"/>
        </w:rPr>
      </w:pPr>
    </w:p>
    <w:p>
      <w:pPr>
        <w:spacing w:after="0" w:line="240" w:lineRule="auto"/>
        <w:jc w:val="center"/>
        <w:rPr>
          <w:rFonts w:ascii="Times New Roman" w:hAnsi="Times New Roman" w:cs="Times New Roman"/>
          <w:b/>
          <w:bCs/>
          <w:vertAlign w:val="superscript"/>
          <w:lang w:val="en-US"/>
        </w:rPr>
      </w:pPr>
      <w:bookmarkStart w:id="1" w:name="_GoBack"/>
      <w:r>
        <w:rPr>
          <w:rFonts w:ascii="Times New Roman" w:hAnsi="Times New Roman" w:cs="Times New Roman"/>
          <w:b/>
          <w:bCs/>
          <w:lang w:val="en-US"/>
        </w:rPr>
        <w:t>Afifaturrahmi</w:t>
      </w:r>
      <w:r>
        <w:rPr>
          <w:rFonts w:ascii="Times New Roman" w:hAnsi="Times New Roman" w:cs="Times New Roman"/>
          <w:b/>
          <w:bCs/>
          <w:vertAlign w:val="superscript"/>
          <w:lang w:val="en-US"/>
        </w:rPr>
        <w:t>1</w:t>
      </w:r>
      <w:r>
        <w:rPr>
          <w:rFonts w:ascii="Times New Roman" w:hAnsi="Times New Roman" w:cs="Times New Roman"/>
          <w:b/>
          <w:bCs/>
          <w:lang w:val="en-US"/>
        </w:rPr>
        <w:t xml:space="preserve">, </w:t>
      </w:r>
      <w:r>
        <w:rPr>
          <w:rFonts w:ascii="Times New Roman" w:hAnsi="Times New Roman" w:cs="Times New Roman"/>
          <w:b/>
          <w:bCs/>
        </w:rPr>
        <w:t>Sofia Hartati</w:t>
      </w:r>
      <w:r>
        <w:rPr>
          <w:rFonts w:ascii="Times New Roman" w:hAnsi="Times New Roman" w:cs="Times New Roman"/>
          <w:b/>
          <w:bCs/>
          <w:vertAlign w:val="superscript"/>
          <w:lang w:val="en-US"/>
        </w:rPr>
        <w:t>2</w:t>
      </w:r>
      <w:r>
        <w:rPr>
          <w:rFonts w:ascii="Times New Roman" w:hAnsi="Times New Roman" w:cs="Times New Roman"/>
          <w:b/>
          <w:bCs/>
          <w:lang w:val="en-US"/>
        </w:rPr>
        <w:t xml:space="preserve">, </w:t>
      </w:r>
      <w:r>
        <w:rPr>
          <w:rFonts w:ascii="Times New Roman" w:hAnsi="Times New Roman" w:cs="Times New Roman"/>
          <w:b/>
          <w:bCs/>
        </w:rPr>
        <w:t>Zarina Akbar</w:t>
      </w:r>
      <w:bookmarkEnd w:id="1"/>
      <w:r>
        <w:rPr>
          <w:rFonts w:ascii="Times New Roman" w:hAnsi="Times New Roman" w:cs="Times New Roman"/>
          <w:b/>
          <w:bCs/>
          <w:vertAlign w:val="superscript"/>
          <w:lang w:val="en-US"/>
        </w:rPr>
        <w:t>3</w:t>
      </w:r>
    </w:p>
    <w:p>
      <w:pPr>
        <w:spacing w:after="0" w:line="240" w:lineRule="auto"/>
        <w:jc w:val="center"/>
        <w:rPr>
          <w:rFonts w:ascii="Times New Roman" w:hAnsi="Times New Roman" w:cs="Times New Roman"/>
          <w:b/>
          <w:bCs/>
          <w:vertAlign w:val="superscript"/>
          <w:lang w:val="en-US"/>
        </w:rPr>
      </w:pPr>
    </w:p>
    <w:p>
      <w:pPr>
        <w:snapToGrid w:val="0"/>
        <w:spacing w:after="0" w:line="240" w:lineRule="auto"/>
        <w:jc w:val="center"/>
        <w:rPr>
          <w:rFonts w:ascii="Times New Roman" w:hAnsi="Times New Roman"/>
          <w:bCs/>
          <w:szCs w:val="24"/>
          <w:lang w:val="en-US"/>
        </w:rPr>
      </w:pPr>
      <w:r>
        <w:rPr>
          <w:rFonts w:ascii="Times New Roman" w:hAnsi="Times New Roman"/>
          <w:bCs/>
          <w:szCs w:val="24"/>
          <w:vertAlign w:val="superscript"/>
          <w:lang w:val="en-US"/>
        </w:rPr>
        <w:t>1</w:t>
      </w:r>
      <w:r>
        <w:rPr>
          <w:rFonts w:hint="default" w:ascii="Times New Roman" w:hAnsi="Times New Roman"/>
          <w:bCs/>
          <w:szCs w:val="24"/>
          <w:vertAlign w:val="superscript"/>
          <w:lang w:val="en-US"/>
        </w:rPr>
        <w:t>,2,3</w:t>
      </w:r>
      <w:r>
        <w:rPr>
          <w:rFonts w:ascii="Times New Roman" w:hAnsi="Times New Roman"/>
          <w:bCs/>
          <w:szCs w:val="24"/>
          <w:lang w:val="en-US"/>
        </w:rPr>
        <w:t xml:space="preserve"> Early Childhood Education Programs</w:t>
      </w:r>
      <w:r>
        <w:rPr>
          <w:rFonts w:hint="default" w:ascii="Times New Roman" w:hAnsi="Times New Roman"/>
          <w:bCs/>
          <w:szCs w:val="24"/>
          <w:lang w:val="en-US"/>
        </w:rPr>
        <w:t xml:space="preserve">, </w:t>
      </w:r>
      <w:r>
        <w:rPr>
          <w:rFonts w:ascii="Times New Roman" w:hAnsi="Times New Roman"/>
          <w:bCs/>
          <w:szCs w:val="24"/>
          <w:lang w:val="en-US"/>
        </w:rPr>
        <w:t>Postgraduate, State University of Jakarta, Jakarta</w:t>
      </w:r>
    </w:p>
    <w:p>
      <w:pPr>
        <w:snapToGrid w:val="0"/>
        <w:spacing w:after="0" w:line="240" w:lineRule="auto"/>
        <w:jc w:val="center"/>
        <w:rPr>
          <w:rFonts w:ascii="Times New Roman" w:hAnsi="Times New Roman"/>
          <w:b/>
          <w:szCs w:val="24"/>
          <w:lang w:val="en-US"/>
        </w:rPr>
      </w:pPr>
    </w:p>
    <w:p>
      <w:pPr>
        <w:snapToGrid w:val="0"/>
        <w:spacing w:after="0" w:line="240" w:lineRule="auto"/>
        <w:jc w:val="center"/>
        <w:rPr>
          <w:rFonts w:ascii="Times New Roman" w:hAnsi="Times New Roman" w:cs="Times New Roman"/>
        </w:rPr>
      </w:pPr>
      <w:r>
        <w:rPr>
          <w:rFonts w:ascii="Times New Roman" w:hAnsi="Times New Roman"/>
          <w:bCs/>
          <w:szCs w:val="24"/>
          <w:lang w:val="en-US"/>
        </w:rPr>
        <w:t>Author’s email:</w:t>
      </w:r>
      <w:r>
        <w:rPr>
          <w:rFonts w:ascii="Times New Roman" w:hAnsi="Times New Roman"/>
          <w:b/>
          <w:szCs w:val="24"/>
          <w:lang w:val="en-US"/>
        </w:rPr>
        <w:t xml:space="preserve"> </w:t>
      </w:r>
      <w:r>
        <w:rPr>
          <w:rFonts w:ascii="Times New Roman" w:hAnsi="Times New Roman" w:cs="Times New Roman"/>
        </w:rPr>
        <w:t xml:space="preserve">afifahtaisir@gmail.com, </w:t>
      </w:r>
      <w:r>
        <w:rPr>
          <w:rFonts w:ascii="Times New Roman" w:hAnsi="Times New Roman" w:cs="Times New Roman"/>
          <w:color w:val="222222"/>
          <w:shd w:val="clear" w:color="auto" w:fill="FFFFFF"/>
        </w:rPr>
        <w:t>sofiahartati@unj.ac.id</w:t>
      </w:r>
      <w:r>
        <w:rPr>
          <w:rFonts w:ascii="Times New Roman" w:hAnsi="Times New Roman" w:cs="Times New Roman"/>
        </w:rPr>
        <w:t xml:space="preserve">, </w:t>
      </w:r>
    </w:p>
    <w:p>
      <w:pPr>
        <w:snapToGrid w:val="0"/>
        <w:spacing w:after="0" w:line="240" w:lineRule="auto"/>
        <w:jc w:val="center"/>
        <w:rPr>
          <w:rFonts w:ascii="Times New Roman" w:hAnsi="Times New Roman"/>
          <w:szCs w:val="24"/>
        </w:rPr>
      </w:pPr>
      <w:r>
        <w:rPr>
          <w:rFonts w:ascii="Times New Roman" w:hAnsi="Times New Roman"/>
          <w:szCs w:val="24"/>
        </w:rPr>
        <w:t>zarina_akbar@unj.ac.id</w:t>
      </w:r>
    </w:p>
    <w:p>
      <w:pPr>
        <w:snapToGrid w:val="0"/>
        <w:spacing w:line="240" w:lineRule="auto"/>
        <w:jc w:val="center"/>
        <w:rPr>
          <w:rFonts w:ascii="Times New Roman" w:hAnsi="Times New Roman" w:cs="Times New Roman"/>
        </w:rPr>
      </w:pPr>
      <w:r>
        <w:rPr>
          <w:rFonts w:ascii="Times New Roman" w:hAnsi="Times New Roman"/>
          <w:bCs/>
          <w:szCs w:val="24"/>
        </w:rPr>
        <w:t>C</w:t>
      </w:r>
      <w:r>
        <w:rPr>
          <w:rFonts w:ascii="Times New Roman" w:hAnsi="Times New Roman"/>
          <w:bCs/>
          <w:szCs w:val="24"/>
          <w:lang w:val="en-US"/>
        </w:rPr>
        <w:t xml:space="preserve">orresponding author: </w:t>
      </w:r>
      <w:r>
        <w:fldChar w:fldCharType="begin"/>
      </w:r>
      <w:r>
        <w:instrText xml:space="preserve"> HYPERLINK "mailto:afifahtaisir@gmail.com" </w:instrText>
      </w:r>
      <w:r>
        <w:fldChar w:fldCharType="separate"/>
      </w:r>
      <w:r>
        <w:rPr>
          <w:rStyle w:val="7"/>
          <w:rFonts w:ascii="Times New Roman" w:hAnsi="Times New Roman" w:cs="Times New Roman"/>
        </w:rPr>
        <w:t>afifahtaisir@gmail.com</w:t>
      </w:r>
      <w:r>
        <w:rPr>
          <w:rStyle w:val="7"/>
          <w:rFonts w:ascii="Times New Roman" w:hAnsi="Times New Roman" w:cs="Times New Roman"/>
        </w:rPr>
        <w:fldChar w:fldCharType="end"/>
      </w:r>
    </w:p>
    <w:p>
      <w:pPr>
        <w:snapToGrid w:val="0"/>
        <w:spacing w:line="240" w:lineRule="auto"/>
        <w:jc w:val="center"/>
        <w:rPr>
          <w:rFonts w:ascii="Times New Roman" w:hAnsi="Times New Roman"/>
          <w:b/>
          <w:szCs w:val="24"/>
          <w:lang w:val="en-US"/>
        </w:rPr>
      </w:pPr>
    </w:p>
    <w:p>
      <w:pPr>
        <w:snapToGrid w:val="0"/>
        <w:spacing w:line="240" w:lineRule="auto"/>
        <w:jc w:val="center"/>
        <w:rPr>
          <w:rFonts w:ascii="Times New Roman" w:hAnsi="Times New Roman"/>
          <w:b/>
          <w:szCs w:val="24"/>
          <w:lang w:val="en-US"/>
        </w:rPr>
      </w:pPr>
    </w:p>
    <w:p>
      <w:pPr>
        <w:snapToGrid w:val="0"/>
        <w:spacing w:after="0" w:line="240" w:lineRule="auto"/>
        <w:ind w:left="284" w:right="424"/>
        <w:jc w:val="both"/>
        <w:rPr>
          <w:rFonts w:ascii="Times New Roman" w:hAnsi="Times New Roman"/>
          <w:bCs/>
          <w:szCs w:val="24"/>
        </w:rPr>
      </w:pPr>
      <w:r>
        <w:rPr>
          <w:rFonts w:ascii="Times New Roman" w:hAnsi="Times New Roman"/>
          <w:b/>
          <w:szCs w:val="24"/>
        </w:rPr>
        <w:t>Abstract.</w:t>
      </w:r>
      <w:r>
        <w:rPr>
          <w:rFonts w:ascii="Times New Roman" w:hAnsi="Times New Roman"/>
          <w:bCs/>
          <w:szCs w:val="24"/>
        </w:rPr>
        <w:t xml:space="preserve"> Indonesia is located between the world's tectonic plates. Therefore, Indonesia is prone to earthquakes. Earthquake natural disasters are vibrations from within the earth that then propagate to the earth's surface, causing various damage and taking lives. Thus, it is very important to provide disaster preparedness education from an early age as an effort to reduce disaster risk or disaster management efforts in schools, one of which is by using animated earthquake videos that are interesting and easy for children to understand. So that children can know how to save themselves when a disaster occurs and direct the steps that must be taken when a threat occurs around them. Using a literature review approach, this paper aims to explain why earthquake preparedness education is very important, especially as early as possible to reduce disaster risk. The findings in this paper indicate that the use of animated video media as a learning medium for earthquake disaster preparedness in early childhood helps maximize learning objectives, namely knowledge about earthquake disasters and earthquake preparedness. This is also by the technological era which aims to facilitate learning and maximize learning objectives. The findings in this paper are expected to explain how earthquake preparedness is learned for early childhood in Indonesia.</w:t>
      </w:r>
    </w:p>
    <w:p>
      <w:pPr>
        <w:snapToGrid w:val="0"/>
        <w:spacing w:after="0" w:line="240" w:lineRule="auto"/>
        <w:ind w:left="284" w:right="424"/>
        <w:jc w:val="both"/>
        <w:rPr>
          <w:rFonts w:ascii="Times New Roman" w:hAnsi="Times New Roman"/>
          <w:bCs/>
          <w:szCs w:val="24"/>
        </w:rPr>
      </w:pPr>
    </w:p>
    <w:p>
      <w:pPr>
        <w:snapToGrid w:val="0"/>
        <w:spacing w:after="0" w:line="240" w:lineRule="auto"/>
        <w:ind w:left="284" w:right="424"/>
        <w:jc w:val="both"/>
        <w:rPr>
          <w:rFonts w:ascii="Times New Roman" w:hAnsi="Times New Roman"/>
          <w:b/>
          <w:szCs w:val="24"/>
        </w:rPr>
      </w:pPr>
      <w:r>
        <w:rPr>
          <w:rFonts w:ascii="Times New Roman" w:hAnsi="Times New Roman"/>
          <w:b/>
          <w:szCs w:val="24"/>
          <w:lang w:val="en-US"/>
        </w:rPr>
        <w:t>Keywords:</w:t>
      </w:r>
      <w:r>
        <w:rPr>
          <w:rFonts w:ascii="Times New Roman" w:hAnsi="Times New Roman"/>
          <w:szCs w:val="24"/>
          <w:lang w:val="en-US"/>
        </w:rPr>
        <w:t xml:space="preserve"> early childhood education, disaster preparedness, earthquake</w:t>
      </w:r>
    </w:p>
    <w:p>
      <w:pPr>
        <w:snapToGrid w:val="0"/>
        <w:spacing w:after="0" w:line="360" w:lineRule="auto"/>
        <w:jc w:val="center"/>
        <w:rPr>
          <w:rFonts w:ascii="Times New Roman" w:hAnsi="Times New Roman"/>
          <w:b/>
          <w:szCs w:val="24"/>
        </w:rPr>
      </w:pPr>
    </w:p>
    <w:p>
      <w:pPr>
        <w:snapToGrid w:val="0"/>
        <w:spacing w:after="0" w:line="360" w:lineRule="auto"/>
        <w:rPr>
          <w:rFonts w:ascii="Times New Roman" w:hAnsi="Times New Roman" w:cs="Times New Roman"/>
          <w:sz w:val="24"/>
          <w:szCs w:val="24"/>
        </w:rPr>
      </w:pPr>
    </w:p>
    <w:p>
      <w:pPr>
        <w:snapToGrid w:val="0"/>
        <w:spacing w:after="0" w:line="360" w:lineRule="auto"/>
        <w:rPr>
          <w:rFonts w:ascii="Times New Roman" w:hAnsi="Times New Roman" w:cs="Times New Roman"/>
          <w:sz w:val="24"/>
          <w:szCs w:val="24"/>
        </w:rPr>
        <w:sectPr>
          <w:headerReference r:id="rId5" w:type="default"/>
          <w:pgSz w:w="11906" w:h="16838"/>
          <w:pgMar w:top="2268" w:right="1701" w:bottom="1701" w:left="1701" w:header="709" w:footer="709" w:gutter="0"/>
          <w:cols w:space="708" w:num="1"/>
          <w:docGrid w:linePitch="360" w:charSpace="0"/>
        </w:sectPr>
      </w:pPr>
    </w:p>
    <w:p>
      <w:pPr>
        <w:pStyle w:val="10"/>
        <w:numPr>
          <w:ilvl w:val="0"/>
          <w:numId w:val="1"/>
        </w:numPr>
        <w:snapToGrid w:val="0"/>
        <w:spacing w:after="0" w:line="360" w:lineRule="auto"/>
        <w:ind w:left="426"/>
        <w:jc w:val="both"/>
        <w:rPr>
          <w:rFonts w:ascii="Times New Roman" w:hAnsi="Times New Roman" w:cs="Times New Roman"/>
          <w:b/>
          <w:sz w:val="24"/>
          <w:szCs w:val="24"/>
        </w:rPr>
      </w:pPr>
      <w:bookmarkStart w:id="0" w:name="_Hlk78576255"/>
      <w:r>
        <w:rPr>
          <w:rFonts w:ascii="Times New Roman" w:hAnsi="Times New Roman" w:cs="Times New Roman"/>
          <w:b/>
          <w:sz w:val="24"/>
          <w:szCs w:val="24"/>
          <w:lang w:val="en-US"/>
        </w:rPr>
        <w:t>INTRODUCTION</w:t>
      </w:r>
    </w:p>
    <w:p>
      <w:pPr>
        <w:snapToGrid w:val="0"/>
        <w:spacing w:after="0" w:line="360" w:lineRule="auto"/>
        <w:ind w:right="77" w:firstLine="426"/>
        <w:jc w:val="both"/>
        <w:rPr>
          <w:rFonts w:ascii="Times New Roman" w:hAnsi="Times New Roman" w:cs="Times New Roman"/>
          <w:sz w:val="24"/>
          <w:szCs w:val="24"/>
        </w:rPr>
      </w:pPr>
      <w:r>
        <w:rPr>
          <w:rFonts w:ascii="Times New Roman" w:hAnsi="Times New Roman" w:cs="Times New Roman"/>
          <w:sz w:val="24"/>
          <w:szCs w:val="24"/>
        </w:rPr>
        <w:t xml:space="preserve">Children are one of the vulnerable groups most at risk of being affected by disasters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{"citationItems":[{"id":"ITEM-1","itemData":{"ISBN":"9783540773405","abstract":"Most people consider that the disease of the digestive system (gastritis) is due to the wrong diet or irregular eating. To improve the diet requires good knowledge and positive behavior because it will affect how a person takes precautions so that gastritis does not occur. The purpose of this study is to determine the relationship between knowledge about the causes of gastritis with gastritis prevention behavior in undergraduated of Nursing Program University of Muhamadiyah Banjarmasin. Subjects used in this study are students of undergraduated of Nursing Program with sample of 277 respondents taken using accidental sampling techniques and statistical tests using Spearman Rank. The result of this research is there is correlation between knowledge about cause of gastritis with behavior of prevention of gastritis with value P = 0,000 &lt;α 0,05. Based on the results of the study is expected the community and especially students can increase knowledge of the causes of gastritis.","author":[{"dropping-particle":"","family":"Peraturan Pemerintah Republik Indonesia Nomor 21 Tahun 2008","given":"","non-dropping-particle":"","parse-names":false,"suffix":""}],"container-title":"Peraturan Pemerintah Republik Indonesia Nomor 21 Tahun 2008","id":"ITEM-1","issued":{"date-parts":[["2008"]]},"title":"Peraturan Pemerintah Republik Indonesia Nomor 21 Tahun 2008","type":"article-journal"},"uris":["http://www.mendeley.com/documents/?uuid=1dfd57c4-2130-4425-80cd-635a2cb50b0e"]}],"mendeley":{"formattedCitation":"(Peraturan Pemerintah Republik Indonesia Nomor 21 Tahun 2008, 2008)","plainTextFormattedCitation":"(Peraturan Pemerintah Republik Indonesia Nomor 21 Tahun 2008, 2008)","previouslyFormattedCitation":"(Peraturan Pemerintah Republik Indonesia Nomor 21 Tahun 2008, 2008)"},"properties":{"noteIndex":0},"schema":"https://github.com/citation-style-language/schema/raw/master/csl-citation.json"}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(Peraturan Pemerintah Republik Indonesia Nomor 21 Tahun 2008, 2008)</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Children's vulnerability to natural disasters is caused by a limited understanding of the risks around them, which results in no preparedness in dealing with natural disasters. As the opinion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{"citationItems":[{"id":"ITEM-1","itemData":{"DOI":"10.1017/s1474746409990364","ISSN":"1474-7464","abstract":"This paper explores the concepts of adversity, risk, vulnerability and resilience in the context of child protection systems with the aim of contributing to the debate about the ways in which risk of ‘harm’ and ‘abuse’ are conceptualised at different stages of the lifespan and in relation to different groups of people. The recent developments in the policy and legislative framework for state intervention on behalf of children in the UK are described and linked with an exploration of the underlying assumptions about abuse and neglect. Concepts of adversity, risk, vulnerability and resilience and the ways in which the complexity of the routes and pathways to ‘harm’ pose a challenge to the current UK state protective system are discussed.","author":[{"dropping-particle":"","family":"Daniel","given":"Brigid","non-dropping-particle":"","parse-names":false,"suffix":""}],"container-title":"Social Policy and Society","id":"ITEM-1","issue":"2","issued":{"date-parts":[["2010"]]},"page":"231-241","title":"Concepts of Adversity, Risk, Vulnerability and Resilience: A Discussion in the Context of the ‘Child Protection System’","type":"article-journal","volume":"9"},"uris":["http://www.mendeley.com/documents/?uuid=d812192a-6c91-4c5f-a191-7119e9e17c0c"]}],"mendeley":{"formattedCitation":"(Daniel, 2010)","plainTextFormattedCitation":"(Daniel, 2010)","previouslyFormattedCitation":"(Daniel, 2010)"},"properties":{"noteIndex":0},"schema":"https://github.com/citation-style-language/schema/raw/master/csl-citation.json"}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(Daniel, 2010)</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states that observation focuses on protecting children from harmful experiences, being in danger is an unintended consequence so that it can limit the growth and development of children.</w:t>
      </w:r>
    </w:p>
    <w:p>
      <w:pPr>
        <w:snapToGrid w:val="0"/>
        <w:spacing w:after="0" w:line="360" w:lineRule="auto"/>
        <w:ind w:right="77" w:firstLine="426"/>
        <w:jc w:val="both"/>
        <w:rPr>
          <w:rFonts w:ascii="Times New Roman" w:hAnsi="Times New Roman" w:cs="Times New Roman"/>
          <w:sz w:val="24"/>
          <w:szCs w:val="24"/>
        </w:rPr>
      </w:pPr>
      <w:r>
        <w:rPr>
          <w:rFonts w:ascii="Times New Roman" w:hAnsi="Times New Roman" w:cs="Times New Roman"/>
          <w:sz w:val="24"/>
          <w:szCs w:val="24"/>
        </w:rPr>
        <w:t>Under the mandate of Law Number 35 of 2014 concerning Amendments to Law Number 23 of 2002 concerning Child Protection. The government, local government, and other state institutions are obliged to provide special protection to children in emergencies, including children who are victims of natural disasters. This is also stated in Law Number 24 of 2007 concerning Disaster Management in Chapter V which regulates the Rights and Obligations of the Community. Article 26 paragraph 1 point (a) states that everyone has the right to obtain education, training, and skills in disaster management. Meanwhile, the obligations of each parent are stated in article 27 point (b) which is to carry out disaster management activities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{"citationItems":[{"id":"ITEM-1","itemData":{"author":[{"dropping-particle":"","family":"Apriliani","given":"Diyan Ayu","non-dropping-particle":"","parse-names":false,"suffix":""},{"dropping-particle":"","family":"Adiarti","given":"Wulan","non-dropping-particle":"","parse-names":false,"suffix":""},{"dropping-particle":"","family":"Info","given":"Article","non-dropping-particle":"","parse-names":false,"suffix":""}],"id":"ITEM-1","issue":"2","issued":{"date-parts":[["2017"]]},"title":"Early Childhood Education Papers ( Belia ) Personal Safety Knowledge of Landsliode Disaster Based on The Application of Adobe Flash CS5 Media At Kindergarten PGRI Tunas Patriot Banjarnegara","type":"article-journal","volume":"6"},"uris":["http://www.mendeley.com/documents/?uuid=677eb1b3-f64e-4be9-9a23-9aa6ca413827"]}],"mendeley":{"formattedCitation":"(Apriliani et al., 2017)","plainTextFormattedCitation":"(Apriliani et al., 2017)","previouslyFormattedCitation":"(Apriliani et al., 2017)"},"properties":{"noteIndex":0},"schema":"https://github.com/citation-style-language/schema/raw/master/csl-citation.json"}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(Apriliani et al., 2017)</w:t>
      </w:r>
      <w:r>
        <w:rPr>
          <w:rFonts w:ascii="Times New Roman" w:hAnsi="Times New Roman" w:cs="Times New Roman"/>
          <w:sz w:val="24"/>
          <w:szCs w:val="24"/>
          <w:lang w:val="en-US"/>
        </w:rPr>
        <w:fldChar w:fldCharType="end"/>
      </w:r>
      <w:r>
        <w:rPr>
          <w:rFonts w:ascii="Times New Roman" w:hAnsi="Times New Roman" w:cs="Times New Roman"/>
          <w:sz w:val="24"/>
          <w:szCs w:val="24"/>
        </w:rPr>
        <w:t>. This means that disaster mitigation must be sought to be disseminated to the wider community. One of them is children who are one of the most vulnerable groups to disasters.</w:t>
      </w:r>
    </w:p>
    <w:p>
      <w:pPr>
        <w:snapToGrid w:val="0"/>
        <w:spacing w:after="0" w:line="360" w:lineRule="auto"/>
        <w:ind w:right="77" w:firstLine="426"/>
        <w:jc w:val="both"/>
        <w:rPr>
          <w:rFonts w:ascii="Times New Roman" w:hAnsi="Times New Roman" w:cs="Times New Roman"/>
          <w:sz w:val="24"/>
          <w:szCs w:val="24"/>
        </w:rPr>
      </w:pPr>
      <w:r>
        <w:rPr>
          <w:rFonts w:ascii="Times New Roman" w:hAnsi="Times New Roman" w:cs="Times New Roman"/>
          <w:sz w:val="24"/>
          <w:szCs w:val="24"/>
        </w:rPr>
        <w:t xml:space="preserve">Disaster risk management and reduction can be provided through learning to improve community preparedness, especially for children. Through disaster preparedness education, students are expected to be able to think and act quickly, precisely, and accurately when facing disasters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{"citationItems":[{"id":"ITEM-1","itemData":{"DOI":"10.15408/sd.v1i2.1261","ISSN":"2356-1386","abstract":"Artikel ini menjelaskan urgensi kurikulum pendidikan kebencanaan berbasis kearifan lokal di Indonesia. Untuk maksud tersebut penulis menggunakan metode kepustakaan. Sebagai negara yang memiliki potensi bencana sangat besar, Indonesia perlu menerapkan kurikulum kebencanaan di lembaga-lembaga pendidikan agar peserta didik memiliki pengetahuan dan wawasan tentang kebencanaan. Pendidikan kebencanaan ini memiliki tujuan umum untuk memberikan gambaran dan acuan dalam proses pembelajaran siaga bencana. Melalui pendidikan diharapkan peserta didik mampu berpikir dan bertindak cepat, tepat, dan akurat saat menghadapi bencana. Sikap empati terhadap korban bencana juga dapat dibangun agar peserta didik dapat membantu orang lain secara tepat dan cermat. Pola dan ragam bencana alam yang dihadapi juga berbeda-beda karena setiap daerah memiliki karakteristik yang berbeda-beda pula. Maka, kurikulum bencana harus mengakomodasi kearifan lokal yang ada, sebagai upaya memberikan pendidikan yang tepat untuk menghadapi sekaligus menangani bencana. Kurikulum berbasis kearifan lokal akan menjelaskan hubungan antara manusia dengan lingkungan alam dan lingkungan budaya yang ada","author":[{"dropping-particle":"","family":"Desfandi","given":"Mirza","non-dropping-particle":"","parse-names":false,"suffix":""}],"container-title":"SOSIO DIDAKTIKA: Social Science Education Journal","id":"ITEM-1","issue":"2","issued":{"date-parts":[["2014"]]},"title":"Urgensi Kurikulum Pendidikan Kebencanaan Berbasis Kearifan Lokal Di Indonesia","type":"article-journal","volume":"1"},"uris":["http://www.mendeley.com/documents/?uuid=a6b72d03-a753-4608-bae2-31b1e6b5f511"]}],"mendeley":{"formattedCitation":"(Desfandi, 2014)","plainTextFormattedCitation":"(Desfandi, 2014)","previouslyFormattedCitation":"(Desfandi, 2014)"},"properties":{"noteIndex":0},"schema":"https://github.com/citation-style-language/schema/raw/master/csl-citation.json"}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(Desfandi, 2014)</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Disaster preparedness education in schools can use any media or method that can be helpful and interesting for children so that learning can optimize learning objectives. Digital media and technology are seen as tools to support learning. Media and technology are expected to transform schools into innovative, student-centered, and interactive learning environments. Media is no longer considered only as a teaching and learning tool but more broadly as part of the social and cultural environment of children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{"citationItems":[{"id":"ITEM-1","itemData":{"author":[{"dropping-particle":"","family":"Syarah","given":"Erie Siti","non-dropping-particle":"","parse-names":false,"suffix":""}],"id":"ITEM-1","issue":"2","issued":{"date-parts":[["2020"]]},"title":"Understanding Teacher ' s Perspectives in Media Literacy Education as an Empowerment Instrument of Blended Learning in Early Childhood Classroom","type":"article-journal","volume":"14"},"uris":["http://www.mendeley.com/documents/?uuid=de7f3610-31a1-4017-b24a-6f1394262bb1"]}],"mendeley":{"formattedCitation":"(Syarah, 2020)","plainTextFormattedCitation":"(Syarah, 2020)","previouslyFormattedCitation":"(Syarah, 2020)"},"properties":{"noteIndex":0},"schema":"https://github.com/citation-style-language/schema/raw/master/csl-citation.json"}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(Syarah, 2020)</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Audio-visual media has good and clear capabilities because of its ability to display a live image and is supported by the ability to produce sound, which can also be broadcast in large sizes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{"citationItems":[{"id":"ITEM-1","itemData":{"DOI":": https://doi.org/10.21009/JPUD.121 15","author":[{"dropping-particle":"","family":"Kristanto","given":"Wisnu","non-dropping-particle":"","parse-names":false,"suffix":""}],"container-title":"JURNAL PENDIDIKAN USIA DINI","id":"ITEM-1","issued":{"date-parts":[["2018"]]},"page":"175-189","title":"Pengembangan Film Pendek Berbasis Karakter Pada Anak Usia Dini ( Penelitian dan Pengembangan di Taman Kanak-Kanak Islam Terpadu Wildani Surabaya ) yang of the culture and life of the school .” Education by Elkind and Sweet 2014 ). karakter banyak orang te","type":"article-journal","volume":"Volume 12"},"uris":["http://www.mendeley.com/documents/?uuid=df3ca4b4-3d9b-4d8c-9f91-d48db99f0a10"]}],"mendeley":{"formattedCitation":"(Kristanto, 2018)","plainTextFormattedCitation":"(Kristanto, 2018)","previouslyFormattedCitation":"(Kristanto, 2018)"},"properties":{"noteIndex":0},"schema":"https://github.com/citation-style-language/schema/raw/master/csl-citation.json"}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(Kristanto, 2018)</w:t>
      </w:r>
      <w:r>
        <w:rPr>
          <w:rFonts w:ascii="Times New Roman" w:hAnsi="Times New Roman" w:cs="Times New Roman"/>
          <w:sz w:val="24"/>
          <w:szCs w:val="24"/>
          <w:lang w:val="en-US"/>
        </w:rPr>
        <w:fldChar w:fldCharType="end"/>
      </w:r>
      <w:r>
        <w:rPr>
          <w:rFonts w:ascii="Times New Roman" w:hAnsi="Times New Roman" w:cs="Times New Roman"/>
          <w:sz w:val="24"/>
          <w:szCs w:val="24"/>
        </w:rPr>
        <w:t>. So that learning objectives can be more easily achieved.</w:t>
      </w:r>
    </w:p>
    <w:p>
      <w:pPr>
        <w:snapToGrid w:val="0"/>
        <w:spacing w:after="0" w:line="360" w:lineRule="auto"/>
        <w:ind w:right="77" w:firstLine="426"/>
        <w:jc w:val="both"/>
        <w:rPr>
          <w:rFonts w:ascii="Times New Roman" w:hAnsi="Times New Roman" w:cs="Times New Roman"/>
          <w:sz w:val="24"/>
          <w:szCs w:val="24"/>
        </w:rPr>
      </w:pPr>
      <w:r>
        <w:rPr>
          <w:rFonts w:ascii="Times New Roman" w:hAnsi="Times New Roman" w:cs="Times New Roman"/>
          <w:sz w:val="24"/>
          <w:szCs w:val="24"/>
        </w:rPr>
        <w:t xml:space="preserve">Other studies have also shown that counseling using the video animation method can have a greater effect on increasing preparedness. Based on the overall results of the study, it can be seen that video playback animation can help increase a person's knowledge significantly so that this media can be used in learning earthquake preparedness by paying attention to videos that are more interesting and not boring. After playing the video, respondents at least experienced an increase in earthquake preparedness in the very prepared category. Based on Wells' knowledge of preparedness is an effort to reduce the risk and impact of disaster losses, namely knowledge about disasters, actions to prepare, support and rebuild communities after a disaster occurs. Knowledge of disasters is the key to preparedness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{"citationItems":[{"id":"ITEM-1","itemData":{"DOI":"10.37506/v20/il/2020/mlu/194482","ISSN":"09741283","abstract":"Background: The Central Sulawesi region is one of the areas prone to earthquakes and tsunamis in Indonesia. The low level of knowledge of the community, especially children who are the age most vulnerable to the risk of victims in a disaster. The vulnerability of children to disasters is triggered by a limited understanding of the risks around them, which results in the absence of preparedness in the face of disasters. This study aims to know the influences of disaster counseling with animation video on preparedness students in elementary school in sigi district. Methods: This research used a quasi-experimental with the pretest-posttest design. 40 respondents, grade IV and V student, were determined by the total quota sampling technique. Data was collected using questionnaires and observation sheets. Data analysis using t-dependent and will be presented in tabular form. Results: Shows that the average value of respondents’ knowledge before video playback (pre-test) is 83.12. Meanwhile, the average value after playing the video (post test) is equal to 92.62. This shows that an increase in the average value of respondents after the video playback. The results of the t-dependent test showed that the animation video method had a significant influence on improving preparedness (p = 0,000). Conclusion: Shows that counseling with animation video method can have a greater influence on the increase in preparedness.","author":[{"dropping-particle":"","family":"Amri","given":"Imtihanah","non-dropping-particle":"","parse-names":false,"suffix":""},{"dropping-particle":"","family":"Ansariadi","given":"","non-dropping-particle":"","parse-names":false,"suffix":""},{"dropping-particle":"","family":"Amiruddin","given":"Ridwan","non-dropping-particle":"","parse-names":false,"suffix":""},{"dropping-particle":"","family":"Palutturi","given":"Sukri","non-dropping-particle":"","parse-names":false,"suffix":""},{"dropping-particle":"","family":"Mallongi","given":"Anwar","non-dropping-particle":"","parse-names":false,"suffix":""},{"dropping-particle":"","family":"Nur","given":"Rosmala","non-dropping-particle":"","parse-names":false,"suffix":""},{"dropping-particle":"","family":"Sari","given":"Nur Endang","non-dropping-particle":"","parse-names":false,"suffix":""}],"container-title":"Medico-Legal Update","id":"ITEM-1","issue":"1","issued":{"date-parts":[["2020"]]},"page":"1302-1306","title":"The influence of disaster counseling with animation video on preparednes students in elementary school in Palu","type":"article-journal","volume":"20"},"uris":["http://www.mendeley.com/documents/?uuid=24ba16b7-0f46-4c31-a4ef-f4589719ca02"]}],"mendeley":{"formattedCitation":"(Amri et al., 2020)","plainTextFormattedCitation":"(Amri et al., 2020)","previouslyFormattedCitation":"(Amri et al., 2020)"},"properties":{"noteIndex":0},"schema":"https://github.com/citation-style-language/schema/raw/master/csl-citation.json"}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(Amri et al., 2020)</w:t>
      </w:r>
      <w:r>
        <w:rPr>
          <w:rFonts w:ascii="Times New Roman" w:hAnsi="Times New Roman" w:cs="Times New Roman"/>
          <w:sz w:val="24"/>
          <w:szCs w:val="24"/>
          <w:lang w:val="en-US"/>
        </w:rPr>
        <w:fldChar w:fldCharType="end"/>
      </w:r>
      <w:r>
        <w:rPr>
          <w:rFonts w:ascii="Times New Roman" w:hAnsi="Times New Roman" w:cs="Times New Roman"/>
          <w:sz w:val="24"/>
          <w:szCs w:val="24"/>
        </w:rPr>
        <w:t>.</w:t>
      </w:r>
    </w:p>
    <w:p>
      <w:pPr>
        <w:snapToGrid w:val="0"/>
        <w:spacing w:after="0" w:line="360" w:lineRule="auto"/>
        <w:ind w:right="77" w:firstLine="426"/>
        <w:jc w:val="both"/>
        <w:rPr>
          <w:rFonts w:ascii="Times New Roman" w:hAnsi="Times New Roman" w:cs="Times New Roman"/>
          <w:sz w:val="24"/>
          <w:szCs w:val="24"/>
        </w:rPr>
      </w:pPr>
      <w:r>
        <w:rPr>
          <w:rFonts w:ascii="Times New Roman" w:hAnsi="Times New Roman" w:cs="Times New Roman"/>
          <w:sz w:val="24"/>
          <w:szCs w:val="24"/>
        </w:rPr>
        <w:t>Relevant to previous research, conducted by Suryani Irma, et al with the results of research which stated that there was an increase in preparedness knowledge in dealing with earthquake disasters at State Elementary School 19 Banda Aceh</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{"citationItems":[{"id":"ITEM-1","itemData":{"author":[{"dropping-particle":"","family":"Irma Suryani","given":"2 Sri Adelila Sari dan 3 Sri Milfayetty","non-dropping-particle":"","parse-names":false,"suffix":""}],"id":"ITEM-1","issue":"2","issued":{"date-parts":[["2014"]]},"page":"88-92","title":"Model Quantum Teaching dalam Meningkatkan Pengetahuan Kesiapsiagaan Bencana Gempa Bumi di Sekolah Dasar 19 Banda Aceh","type":"article-journal","volume":"2"},"uris":["http://www.mendeley.com/documents/?uuid=f0f64198-da6f-4f73-8d18-9110daf19a25"]}],"mendeley":{"formattedCitation":"(Irma Suryani, 2014)","plainTextFormattedCitation":"(Irma Suryani, 2014)","previouslyFormattedCitation":"(Irma Suryani, 2014)"},"properties":{"noteIndex":0},"schema":"https://github.com/citation-style-language/schema/raw/master/csl-citation.json"}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(Irma Suryani, 2014)</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This is an effort to prepare the community through elementary school students in dealing with earthquake disasters that may occur and are unexpected. Another relevant study was also conducted by Solfiah Yeni, et al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{"citationItems":[{"id":"ITEM-1","itemData":{"DOI":"10.21009/141.10","ISSN":"1693-1602","abstract":"Indonesia is a country that has a high potential for natural disasters. Picture story book is a form of disaster management learning that can help children from an early age to prepare for a natural disaster. The aims of this study to develop story books as a disaster management learning media, to improve knowledge and skills of children and teacher about the understanding, principles, and actions of rescue when facing the natural disasters, to increase the teacher’s learning quality in disaster management. Developmental research approach is used to execute the study. A total of 48 children aged 5-6 years have to carry out pre-test and post-test. Pre-test data shows that children's knowledge about disaster management with an average of 47.92% and its improved at post-test with 76,88%. Five theme of story books involves floods, landslides, earthquakes, tsunamis, lands and forest fires is the product. Dissemination of five story books are proper for children and improve their understanding of disaster management.\r Keywords: Early Childhood Education, Management Disaster, Storybooks\r Reference:\r \r \r \r Abulnour, A. H. (2013). Towards efficient disaster management in Egypt. Housing and Building National Research Center. https://doi.org/10.1016/j.hbrcj.2013.07.004\r Adiyoyoso, W. (2018). Manajemen Bencana. Jakarta: Bumi Aksara.\r Anderson, T., &amp; Shattuck, J. (2012). Design-based research: A decade of progress in education research? Educational Researcher, 41(1), 16–25. https://doi.org/10.3102/0013189X11428813\r Batič, J. (2019). Reading Picture Books in Preschool and Lower Grades of Primary School. Center for Educational Policy Studies Journal, (November), 1–18. https://doi.org/10.26529/cepsj.554\r Bosschaart, A., van der Schee, J., Kuiper, W., &amp; Schoonenboom, J. (2016). Evaluating a flood- risk education program in the Netherlands. Studies in Educational Evaluation, 50, 53–61. https://doi.org/10.1016/j.stueduc.2016.07.002\r Codreanu, T. A., Celenza, A., &amp; Jacobs, I. (2014). Does disaster education of teenagers translate into better survival knowledge, knowledge of skills, and adaptive behavioral change? A systematic literature review. Prehospital and Disaster Medicine, 29(6), 629–642. https://doi.org/10.1017/S1049023X14001083\r Delicado, A., Rowland, J., Fonseca, S., &amp; Nunes, A. (2017). Children in Disaster Risk Reduction in Portugal : Policies , Education , and ( Non ) Participation. 246–257. https://doi.org/10.1007/s13753-017-0138-5\r Demiroz, F., &amp; Haase, T. W. …","author":[{"dropping-particle":"","family":"Solfiah","given":"Yeni Solfiah","non-dropping-particle":"","parse-names":false,"suffix":""},{"dropping-particle":"","family":"Risma","given":"Devi","non-dropping-particle":"","parse-names":false,"suffix":""},{"dropping-particle":"","family":"Hukmi","given":"","non-dropping-particle":"","parse-names":false,"suffix":""},{"dropping-particle":"","family":"Kurnia","given":"Rita","non-dropping-particle":"","parse-names":false,"suffix":""}],"container-title":"JPUD - Jurnal Pendidikan Usia Dini","id":"ITEM-1","issue":"1","issued":{"date-parts":[["2020"]]},"page":"141-155","title":"Early Childhood Disaster Management Media Through Picture Story Books","type":"article-journal","volume":"14"},"uris":["http://www.mendeley.com/documents/?uuid=cc7a60d3-1113-428d-b903-7d7c87371c94"]}],"mendeley":{"formattedCitation":"(Y. S. Solfiah et al., 2020)","plainTextFormattedCitation":"(Y. S. Solfiah et al., 2020)","previouslyFormattedCitation":"(Y. S. Solfiah et al., 2020)"},"properties":{"noteIndex":0},"schema":"https://github.com/citation-style-language/schema/raw/master/csl-citation.json"}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(Y. S. Solfiah et al., 2020)</w:t>
      </w:r>
      <w:r>
        <w:rPr>
          <w:rFonts w:ascii="Times New Roman" w:hAnsi="Times New Roman" w:cs="Times New Roman"/>
          <w:sz w:val="24"/>
          <w:szCs w:val="24"/>
          <w:lang w:val="en-US"/>
        </w:rPr>
        <w:fldChar w:fldCharType="end"/>
      </w:r>
      <w:r>
        <w:rPr>
          <w:rFonts w:ascii="Times New Roman" w:hAnsi="Times New Roman" w:cs="Times New Roman"/>
          <w:sz w:val="24"/>
          <w:szCs w:val="24"/>
        </w:rPr>
        <w:t xml:space="preserve"> entitled "Early Childhood Disaster Management Media Through Picture Story Book" disaster.</w:t>
      </w:r>
    </w:p>
    <w:p>
      <w:pPr>
        <w:snapToGrid w:val="0"/>
        <w:spacing w:after="0" w:line="360" w:lineRule="auto"/>
        <w:ind w:right="77" w:firstLine="426"/>
        <w:jc w:val="both"/>
        <w:rPr>
          <w:rFonts w:ascii="Times New Roman" w:hAnsi="Times New Roman" w:cs="Times New Roman"/>
          <w:sz w:val="24"/>
          <w:szCs w:val="24"/>
        </w:rPr>
      </w:pPr>
    </w:p>
    <w:p>
      <w:pPr>
        <w:pStyle w:val="10"/>
        <w:numPr>
          <w:ilvl w:val="0"/>
          <w:numId w:val="1"/>
        </w:numPr>
        <w:snapToGrid w:val="0"/>
        <w:spacing w:after="0" w:line="360" w:lineRule="auto"/>
        <w:ind w:left="426" w:right="77"/>
        <w:jc w:val="both"/>
        <w:rPr>
          <w:rFonts w:ascii="Times New Roman" w:hAnsi="Times New Roman" w:cs="Times New Roman"/>
          <w:sz w:val="24"/>
          <w:szCs w:val="24"/>
        </w:rPr>
      </w:pPr>
      <w:r>
        <w:rPr>
          <w:rFonts w:ascii="Times New Roman" w:hAnsi="Times New Roman" w:cs="Times New Roman"/>
          <w:b/>
          <w:iCs/>
          <w:sz w:val="24"/>
          <w:szCs w:val="24"/>
          <w:lang w:val="en-US"/>
        </w:rPr>
        <w:t>LITERATURE REVIEW</w:t>
      </w:r>
    </w:p>
    <w:p>
      <w:pPr>
        <w:snapToGrid w:val="0"/>
        <w:spacing w:after="0" w:line="360" w:lineRule="auto"/>
        <w:ind w:left="66" w:right="77"/>
        <w:jc w:val="both"/>
        <w:rPr>
          <w:rFonts w:ascii="Times New Roman" w:hAnsi="Times New Roman" w:cs="Times New Roman"/>
          <w:b/>
          <w:iCs/>
          <w:sz w:val="24"/>
          <w:szCs w:val="24"/>
          <w:lang w:val="en-US"/>
        </w:rPr>
      </w:pPr>
      <w:r>
        <w:rPr>
          <w:rFonts w:ascii="Times New Roman" w:hAnsi="Times New Roman" w:cs="Times New Roman"/>
          <w:b/>
          <w:iCs/>
          <w:sz w:val="24"/>
          <w:szCs w:val="24"/>
          <w:lang w:val="en-US"/>
        </w:rPr>
        <w:t xml:space="preserve">2.1 Earthquake Disaster </w:t>
      </w:r>
    </w:p>
    <w:p>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right="2"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disaster preparedness framework made by LIPI and Unesco, preparedness is grouped into 4 parameters, namely; knowledge and attitude (knowledge and attitude), planning and emergency (emergency planning), warning system (warning system), and resource mobilization. More knowledge to measure basic knowledge about natural disasters such as characteristics, symptoms, and causes. Emergency planning on knowledge about what actions have been prepared in the face of natural disasters. The warning system is what efforts exist in the community in preventing victims from disasters through existing warning signs. Meanwhile, resource mobilization is more about the potential and increasing resources in the community such as skills, funds, and others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{"citationItems":[{"id":"ITEM-1","itemData":{"author":[{"dropping-particle":"","family":"Nugroho","given":"Ag Cahyo","non-dropping-particle":"","parse-names":false,"suffix":""}],"id":"ITEM-1","issued":{"date-parts":[["2007"]]},"title":"kajian kesiapsiagaan masyarakat dalam mengantisispasi bencana gempa bumi dan tsunami di Nias Selatan","type":"book"},"uris":["http://www.mendeley.com/documents/?uuid=498b6fd5-edc5-475e-b223-576a77de3903"]}],"mendeley":{"formattedCitation":"(Nugroho, 2007)","plainTextFormattedCitation":"(Nugroho, 2007)","previouslyFormattedCitation":"(Nugroho, 2007)"},"properties":{"noteIndex":0},"schema":"https://github.com/citation-style-language/schema/raw/master/csl-citation.json"}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(Nugroho, 2007)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right="2"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Preparedness is community empowerment that is equipped with preparedness for earthquake disasters that can be carried out by all parties for mutual safety in efforts to reduce disaster risk. According to Solfiah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{"citationItems":[{"id":"ITEM-1","itemData":{"DOI":"10.24014/kjiece.v2i2.8090","ISSN":"2621-0339","abstract":"Disaster management","author":[{"dropping-particle":"","family":"Solfiah","given":"Yeni","non-dropping-particle":"","parse-names":false,"suffix":""},{"dropping-particle":"","family":"Risma","given":"Devi","non-dropping-particle":"","parse-names":false,"suffix":""},{"dropping-particle":"","family":"-","given":"Hukmi","non-dropping-particle":"","parse-names":false,"suffix":""},{"dropping-particle":"","family":"Kurnia","given":"Rita","non-dropping-particle":"","parse-names":false,"suffix":""}],"container-title":"KINDERGARTEN: Journal of Islamic Early Childhood Education","id":"ITEM-1","issue":"2","issued":{"date-parts":[["2019"]]},"page":"159","title":"the Knowledge of Early Childhood Education Teachers About Natural Disaster Management","type":"article-journal","volume":"2"},"uris":["http://www.mendeley.com/documents/?uuid=cdd1d851-1685-4081-a9dc-4ac94c7ddbf1"]}],"mendeley":{"formattedCitation":"(Y. Solfiah et al., 2019)","plainTextFormattedCitation":"(Y. Solfiah et al., 2019)","previouslyFormattedCitation":"(Y. Solfiah et al., 2019)"},"properties":{"noteIndex":0},"schema":"https://github.com/citation-style-language/schema/raw/master/csl-citation.json"}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(Y. Solfiah et al., 2019)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that preparedness is an action that allows governments, communities, and individuals to respond quickly and effectively to disaster situations. The preparation stages include formulating an appropriate disaster management plan, maintaining resources, and providing training to the community. Earthquake disaster preparedness aims to reduce disaster risk or reduce the impact of an earthquake on the community and the surrounding environment. Earthquakes are vibrations originating from the earth due to friction or collision of plates and faults that cause damage or threats to public safety. As explained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{"citationItems":[{"id":"ITEM-1","itemData":{"author":[{"dropping-particle":"","family":"Arief Mustofa Nur/Balai Informasi dan Konservasi Kebumian Karangsambung – LIPI","given":"Kebumen","non-dropping-particle":"","parse-names":false,"suffix":""}],"id":"ITEM-1","issue":"1","issued":{"date-parts":[["2010"]]},"title":"GEMPA BUMI, TSUNAMI DAN MITIGASINYA","type":"article-journal","volume":"7"},"uris":["http://www.mendeley.com/documents/?uuid=016a36ec-2bd9-4365-8850-82f5cba289c1"]}],"mendeley":{"formattedCitation":"(Arief Mustofa Nur/Balai Informasi dan Konservasi Kebumian Karangsambung – LIPI, 2010)","plainTextFormattedCitation":"(Arief Mustofa Nur/Balai Informasi dan Konservasi Kebumian Karangsambung – LIPI, 2010)","previouslyFormattedCitation":"(Arief Mustofa Nur/Balai Informasi dan Konservasi Kebumian Karangsambung – LIPI, 2010)"},"properties":{"noteIndex":0},"schema":"https://github.com/citation-style-language/schema/raw/master/csl-citation.json"}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(Arief Mustofa Nur/Balai Informasi dan Konservasi Kebumian Karangsambung – LIPI, 2010)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that earthquakes are genuine vibrations from within the earth, originating in the earth which then propagate to the earth's surface due to fractures of the earth breaking and shifting violently.</w:t>
      </w:r>
    </w:p>
    <w:p>
      <w:pPr>
        <w:widowControl w:val="0"/>
        <w:pBdr>
          <w:top w:val="none" w:color="auto" w:sz="0" w:space="0"/>
          <w:left w:val="none" w:color="auto" w:sz="0" w:space="0"/>
          <w:bottom w:val="none" w:color="auto" w:sz="0" w:space="0"/>
          <w:right w:val="none" w:color="auto" w:sz="0" w:space="0"/>
          <w:between w:val="none" w:color="auto" w:sz="0" w:space="0"/>
        </w:pBdr>
        <w:spacing w:after="0" w:line="360" w:lineRule="auto"/>
        <w:ind w:right="2"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are many impacts of natural disasters, especially earthquakes, including the destruction of infrastructure and the loss of everything that causes trauma, especially for children. Children who are affected by disasters experience a double burden in addition to physical injuries and also experience psychological trauma. Psychologically, children experience stress and trauma because of the disaster that befell them. Disaster Risk Reduction (DRR) in primary schools aims to foster: (1) human values ​​and attitudes towards disaster risk; (2) understanding of disaster risk and motivation; (3) knowledge and skills of disaster prevention both individually and in the community; and (4) emergency response capability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{"citationItems":[{"id":"ITEM-1","itemData":{"DOI":"10.2478/mjss-2018-0040","abstract":"Indonesia is located in the ring of fire and frequently hit by tectonic earthquake. Education could be one of the strategic and effective efforts to reduce the earthquake risk. Therefore, there is a need to provide knowledge about the earthquake disaster mitigation, especially in elementary school, and to grow the \"Safety Culture\" in school. This paper focuses on how the integration of mobile learning application in elementary school could enhance the ability of disaster risk reduction especially for earthquake mitigation in Bengkulu, Indonesia. The type of research was Pre-Experimental Design with one-group pretest-posttest design. Data collection was a test of students' understanding of earthquake disaster mitigation that includes pre-disaster, disaster, and post disaster. The independent variable was learning to use mobile learning application. The dependent variable was students' understanding of earthquake disaster preparedness. The pre-test and post-test results show that the value of t (0.975) for two-tailed test on the distribution of student (t) dk is 58 and obtained t-table is 2,001 and the calculation t is -8.02; therefore, the null hypothesis is rejected. This implies that there is an influence of educational mobile application to the students for earthquake disaster mitigation. The experiment also shows that educational mobile application influences the students understanding about earthquake disaster preparedness. Thus, mobile learning application can be effective tools for earthquake education, because it displays the earthquake information in more interactive manner.","author":[{"dropping-particle":"","family":"Winarni","given":"Endang Widi","non-dropping-particle":"","parse-names":false,"suffix":""},{"dropping-particle":"","family":"Purwandari","given":"Endina Putri","non-dropping-particle":"","parse-names":false,"suffix":""}],"container-title":"Mediterranean Journal of Social Sciences","id":"ITEM-1","issue":"2","issued":{"date-parts":[["2018"]]},"page":"205-214","title":"Disaster Risk Reduction for Earthquake Using Mobile Learning Application to Improve the Students Understanding in Elementary School","type":"article-journal","volume":"9"},"uris":["http://www.mendeley.com/documents/?uuid=94dae385-d06f-4901-a77a-e2bcfc314885"]}],"mendeley":{"formattedCitation":"(Winarni &amp; Purwandari, 2018)","plainTextFormattedCitation":"(Winarni &amp; Purwandari, 2018)","previouslyFormattedCitation":"(Winarni &amp; Purwandari, 2018)"},"properties":{"noteIndex":0},"schema":"https://github.com/citation-style-language/schema/raw/master/csl-citation.json"}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(Winarni &amp; Purwandari,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pPr>
        <w:pStyle w:val="10"/>
        <w:widowControl w:val="0"/>
        <w:numPr>
          <w:ilvl w:val="1"/>
          <w:numId w:val="1"/>
        </w:numPr>
        <w:pBdr>
          <w:top w:val="none" w:color="auto" w:sz="0" w:space="0"/>
          <w:left w:val="none" w:color="auto" w:sz="0" w:space="0"/>
          <w:bottom w:val="none" w:color="auto" w:sz="0" w:space="0"/>
          <w:right w:val="none" w:color="auto" w:sz="0" w:space="0"/>
          <w:between w:val="none" w:color="auto" w:sz="0" w:space="0"/>
        </w:pBdr>
        <w:spacing w:after="0" w:line="360" w:lineRule="auto"/>
        <w:ind w:left="426" w:right="2"/>
        <w:jc w:val="both"/>
        <w:rPr>
          <w:rFonts w:ascii="Times New Roman" w:hAnsi="Times New Roman" w:cs="Times New Roman"/>
          <w:sz w:val="24"/>
          <w:szCs w:val="24"/>
          <w:lang w:val="en-US"/>
        </w:rPr>
      </w:pPr>
      <w:r>
        <w:rPr>
          <w:rFonts w:ascii="Times New Roman" w:hAnsi="Times New Roman" w:cs="Times New Roman"/>
          <w:b/>
          <w:bCs/>
          <w:color w:val="000000"/>
          <w:sz w:val="24"/>
          <w:szCs w:val="24"/>
          <w:lang w:val="en-US"/>
        </w:rPr>
        <w:t>Earthquake Animation Videos</w:t>
      </w:r>
    </w:p>
    <w:p>
      <w:pPr>
        <w:snapToGrid w:val="0"/>
        <w:spacing w:after="0" w:line="360" w:lineRule="auto"/>
        <w:ind w:right="77" w:firstLine="426"/>
        <w:jc w:val="both"/>
        <w:rPr>
          <w:rFonts w:ascii="Times New Roman" w:hAnsi="Times New Roman" w:eastAsia="Palatino" w:cs="Times New Roman"/>
          <w:color w:val="000000"/>
          <w:sz w:val="24"/>
          <w:szCs w:val="24"/>
          <w:lang w:val="en-US"/>
        </w:rPr>
      </w:pPr>
      <w:r>
        <w:rPr>
          <w:rFonts w:ascii="Times New Roman" w:hAnsi="Times New Roman" w:eastAsia="Palatino" w:cs="Times New Roman"/>
          <w:color w:val="000000"/>
          <w:sz w:val="24"/>
          <w:szCs w:val="24"/>
          <w:lang w:val="en-US"/>
        </w:rPr>
        <w:t xml:space="preserve">As for the reason for using animated videos for earthquake alerts, according to Lorna A &amp; Ioanna P, animated films are made by sequencing a series of still images to give the impression of moving. They can be produced in a variety of ways through drawings, models, and computer graphics, and form a large part of children's cultural delights, along with the popularity of films such as Toy Story (Walt Disney Pictures, 1995) and Finding Nemo (Walt Disney Pictures, 2003). Because very little research has been done regarding digital film production by children. (Lorna Arnott, Ioanna Palaiologou, 2018). Other researchers also stated that multimedia devices have the quality to improve early childhood education. Animation greatly affects children's minds and enhances their academic achievement. Presentation through a slide projector enhances children's attention. The results showed that animation in the story provides opportunities for children to observe, manipulate and investigate and the use of a slide projector increases children's involvement in education </w:t>
      </w:r>
      <w:r>
        <w:rPr>
          <w:rFonts w:ascii="Times New Roman" w:hAnsi="Times New Roman" w:eastAsia="Palatino" w:cs="Times New Roman"/>
          <w:color w:val="000000"/>
          <w:sz w:val="24"/>
          <w:szCs w:val="24"/>
          <w:lang w:val="en-US"/>
        </w:rPr>
        <w:fldChar w:fldCharType="begin" w:fldLock="1"/>
      </w:r>
      <w:r>
        <w:rPr>
          <w:rFonts w:ascii="Times New Roman" w:hAnsi="Times New Roman" w:eastAsia="Palatino" w:cs="Times New Roman"/>
          <w:color w:val="000000"/>
          <w:sz w:val="24"/>
          <w:szCs w:val="24"/>
          <w:lang w:val="en-US"/>
        </w:rPr>
        <w:instrText xml:space="preserve">ADDIN CSL_CITATION {"citationItems":[{"id":"ITEM-1","itemData":{"author":[{"dropping-particle":"","family":"Shilpa","given":"Singh","non-dropping-particle":"","parse-names":false,"suffix":""},{"dropping-particle":"","family":"Sunita","given":"Mishra","non-dropping-particle":"","parse-names":false,"suffix":""}],"container-title":"International Journal of Humanities and Social Science Invention","id":"ITEM-1","issue":"6","issued":{"date-parts":[["2013"]]},"page":"80-85","title":"A Study About Role of Multimedia in Early Childhood Education A Study About Role of Multimedia in Early Childhood Education","type":"article-journal","volume":"2"},"uris":["http://www.mendeley.com/documents/?uuid=bda5369c-1193-4d0a-ba08-9b94a53ccdf2"]}],"mendeley":{"formattedCitation":"(Shilpa &amp; Sunita, 2013)","plainTextFormattedCitation":"(Shilpa &amp; Sunita, 2013)","previouslyFormattedCitation":"(Shilpa &amp; Sunita, 2013)"},"properties":{"noteIndex":0},"schema":"https://github.com/citation-style-language/schema/raw/master/csl-citation.json"}</w:instrText>
      </w:r>
      <w:r>
        <w:rPr>
          <w:rFonts w:ascii="Times New Roman" w:hAnsi="Times New Roman" w:eastAsia="Palatino" w:cs="Times New Roman"/>
          <w:color w:val="000000"/>
          <w:sz w:val="24"/>
          <w:szCs w:val="24"/>
          <w:lang w:val="en-US"/>
        </w:rPr>
        <w:fldChar w:fldCharType="separate"/>
      </w:r>
      <w:r>
        <w:rPr>
          <w:rFonts w:ascii="Times New Roman" w:hAnsi="Times New Roman" w:eastAsia="Palatino" w:cs="Times New Roman"/>
          <w:color w:val="000000"/>
          <w:sz w:val="24"/>
          <w:szCs w:val="24"/>
          <w:lang w:val="en-US"/>
        </w:rPr>
        <w:t>(Shilpa &amp; Sunita, 2013)</w:t>
      </w:r>
      <w:r>
        <w:rPr>
          <w:rFonts w:ascii="Times New Roman" w:hAnsi="Times New Roman" w:eastAsia="Palatino" w:cs="Times New Roman"/>
          <w:color w:val="000000"/>
          <w:sz w:val="24"/>
          <w:szCs w:val="24"/>
          <w:lang w:val="en-US"/>
        </w:rPr>
        <w:fldChar w:fldCharType="end"/>
      </w:r>
      <w:r>
        <w:rPr>
          <w:rFonts w:ascii="Times New Roman" w:hAnsi="Times New Roman" w:eastAsia="Palatino" w:cs="Times New Roman"/>
          <w:color w:val="000000"/>
          <w:sz w:val="24"/>
          <w:szCs w:val="24"/>
          <w:lang w:val="en-US"/>
        </w:rPr>
        <w:t>.</w:t>
      </w:r>
    </w:p>
    <w:p>
      <w:pPr>
        <w:snapToGrid w:val="0"/>
        <w:spacing w:after="0" w:line="360" w:lineRule="auto"/>
        <w:ind w:right="77" w:firstLine="426"/>
        <w:jc w:val="both"/>
        <w:rPr>
          <w:rFonts w:ascii="Times New Roman" w:hAnsi="Times New Roman" w:eastAsia="Palatino" w:cs="Times New Roman"/>
          <w:color w:val="000000"/>
          <w:sz w:val="24"/>
          <w:szCs w:val="24"/>
          <w:lang w:val="en-US"/>
        </w:rPr>
      </w:pPr>
      <w:r>
        <w:rPr>
          <w:rFonts w:ascii="Times New Roman" w:hAnsi="Times New Roman" w:eastAsia="Palatino" w:cs="Times New Roman"/>
          <w:color w:val="000000"/>
          <w:sz w:val="24"/>
          <w:szCs w:val="24"/>
          <w:lang w:val="en-US"/>
        </w:rPr>
        <w:t xml:space="preserve">In addition, Amelia Lina, et al </w:t>
      </w:r>
      <w:r>
        <w:rPr>
          <w:rFonts w:ascii="Times New Roman" w:hAnsi="Times New Roman" w:eastAsia="Palatino" w:cs="Times New Roman"/>
          <w:color w:val="000000"/>
          <w:sz w:val="24"/>
          <w:szCs w:val="24"/>
          <w:lang w:val="en-US"/>
        </w:rPr>
        <w:fldChar w:fldCharType="begin" w:fldLock="1"/>
      </w:r>
      <w:r>
        <w:rPr>
          <w:rFonts w:ascii="Times New Roman" w:hAnsi="Times New Roman" w:eastAsia="Palatino" w:cs="Times New Roman"/>
          <w:color w:val="000000"/>
          <w:sz w:val="24"/>
          <w:szCs w:val="24"/>
          <w:lang w:val="en-US"/>
        </w:rPr>
        <w:instrText xml:space="preserve">ADDIN CSL_CITATION {"citationItems":[{"id":"ITEM-1","itemData":{"ISBN":"9786237776079","author":[{"dropping-particle":"","family":"Amelia","given":"Lina","non-dropping-particle":"","parse-names":false,"suffix":""},{"dropping-particle":"","family":"Hayati","given":"Fitriah","non-dropping-particle":"","parse-names":false,"suffix":""},{"dropping-particle":"","family":"Milfayetti","given":"Sri","non-dropping-particle":"","parse-names":false,"suffix":""}],"id":"ITEM-1","issued":{"date-parts":[["2015"]]},"title":"Integrating Disaster Alert Kindergarten Watching into Preschool Education : Designing a Professional Disaster Mitigation Education Model to Early Children","type":"article-journal","volume":"2"},"uris":["http://www.mendeley.com/documents/?uuid=ac81e349-b521-46bb-8847-9c6d0a6d9d2e"]}],"mendeley":{"formattedCitation":"(Amelia et al., 2015)","plainTextFormattedCitation":"(Amelia et al., 2015)","previouslyFormattedCitation":"(Amelia et al., 2015)"},"properties":{"noteIndex":0},"schema":"https://github.com/citation-style-language/schema/raw/master/csl-citation.json"}</w:instrText>
      </w:r>
      <w:r>
        <w:rPr>
          <w:rFonts w:ascii="Times New Roman" w:hAnsi="Times New Roman" w:eastAsia="Palatino" w:cs="Times New Roman"/>
          <w:color w:val="000000"/>
          <w:sz w:val="24"/>
          <w:szCs w:val="24"/>
          <w:lang w:val="en-US"/>
        </w:rPr>
        <w:fldChar w:fldCharType="separate"/>
      </w:r>
      <w:r>
        <w:rPr>
          <w:rFonts w:ascii="Times New Roman" w:hAnsi="Times New Roman" w:eastAsia="Palatino" w:cs="Times New Roman"/>
          <w:color w:val="000000"/>
          <w:sz w:val="24"/>
          <w:szCs w:val="24"/>
          <w:lang w:val="en-US"/>
        </w:rPr>
        <w:t>(Amelia et al., 2015)</w:t>
      </w:r>
      <w:r>
        <w:rPr>
          <w:rFonts w:ascii="Times New Roman" w:hAnsi="Times New Roman" w:eastAsia="Palatino" w:cs="Times New Roman"/>
          <w:color w:val="000000"/>
          <w:sz w:val="24"/>
          <w:szCs w:val="24"/>
          <w:lang w:val="en-US"/>
        </w:rPr>
        <w:fldChar w:fldCharType="end"/>
      </w:r>
      <w:r>
        <w:rPr>
          <w:rFonts w:ascii="Times New Roman" w:hAnsi="Times New Roman" w:eastAsia="Palatino" w:cs="Times New Roman"/>
          <w:color w:val="000000"/>
          <w:sz w:val="24"/>
          <w:szCs w:val="24"/>
          <w:lang w:val="en-US"/>
        </w:rPr>
        <w:t xml:space="preserve"> stated that animated videos are considered appropriate for the development of thinking and learning characteristics of early childhood. As stated by Nur Zuama S, &amp; Agusniatih Andi </w:t>
      </w:r>
      <w:r>
        <w:rPr>
          <w:rFonts w:ascii="Times New Roman" w:hAnsi="Times New Roman" w:eastAsia="Palatino" w:cs="Times New Roman"/>
          <w:color w:val="000000"/>
          <w:sz w:val="24"/>
          <w:szCs w:val="24"/>
          <w:lang w:val="en-US"/>
        </w:rPr>
        <w:fldChar w:fldCharType="begin" w:fldLock="1"/>
      </w:r>
      <w:r>
        <w:rPr>
          <w:rFonts w:ascii="Times New Roman" w:hAnsi="Times New Roman" w:eastAsia="Palatino" w:cs="Times New Roman"/>
          <w:color w:val="000000"/>
          <w:sz w:val="24"/>
          <w:szCs w:val="24"/>
          <w:lang w:val="en-US"/>
        </w:rPr>
        <w:instrText xml:space="preserve">ADDIN CSL_CITATION {"citationItems":[{"id":"ITEM-1","itemData":{"DOI":"10.2991/assehr.k.200808.045","author":[{"dropping-particle":"","family":"Zuama","given":"Shofiyanti Nur","non-dropping-particle":"","parse-names":false,"suffix":""},{"dropping-particle":"","family":"Agusniatih","given":"Andi","non-dropping-particle":"","parse-names":false,"suffix":""}],"id":"ITEM-1","issue":"Ecep 2019","issued":{"date-parts":[["2020"]]},"page":"228-233","title":"Disaster Mitigation Game Model Used For Circuit Game of Liquefaction as a Children’s Learning Resource in West Palu District","type":"article-journal","volume":"454"},"uris":["http://www.mendeley.com/documents/?uuid=0f7c7295-73c7-4eda-adad-257c37d74d23"]}],"mendeley":{"formattedCitation":"(Zuama &amp; Agusniatih, 2020)","plainTextFormattedCitation":"(Zuama &amp; Agusniatih, 2020)","previouslyFormattedCitation":"(Zuama &amp; Agusniatih, 2020)"},"properties":{"noteIndex":0},"schema":"https://github.com/citation-style-language/schema/raw/master/csl-citation.json"}</w:instrText>
      </w:r>
      <w:r>
        <w:rPr>
          <w:rFonts w:ascii="Times New Roman" w:hAnsi="Times New Roman" w:eastAsia="Palatino" w:cs="Times New Roman"/>
          <w:color w:val="000000"/>
          <w:sz w:val="24"/>
          <w:szCs w:val="24"/>
          <w:lang w:val="en-US"/>
        </w:rPr>
        <w:fldChar w:fldCharType="separate"/>
      </w:r>
      <w:r>
        <w:rPr>
          <w:rFonts w:ascii="Times New Roman" w:hAnsi="Times New Roman" w:eastAsia="Palatino" w:cs="Times New Roman"/>
          <w:color w:val="000000"/>
          <w:sz w:val="24"/>
          <w:szCs w:val="24"/>
          <w:lang w:val="en-US"/>
        </w:rPr>
        <w:t>(Zuama &amp; Agusniatih, 2020)</w:t>
      </w:r>
      <w:r>
        <w:rPr>
          <w:rFonts w:ascii="Times New Roman" w:hAnsi="Times New Roman" w:eastAsia="Palatino" w:cs="Times New Roman"/>
          <w:color w:val="000000"/>
          <w:sz w:val="24"/>
          <w:szCs w:val="24"/>
          <w:lang w:val="en-US"/>
        </w:rPr>
        <w:fldChar w:fldCharType="end"/>
      </w:r>
      <w:r>
        <w:rPr>
          <w:rFonts w:ascii="Times New Roman" w:hAnsi="Times New Roman" w:eastAsia="Palatino" w:cs="Times New Roman"/>
          <w:color w:val="000000"/>
          <w:sz w:val="24"/>
          <w:szCs w:val="24"/>
          <w:lang w:val="en-US"/>
        </w:rPr>
        <w:t>) that learning resources are everything that has the potential to be learned and is in the child's environment and provides fun and learning experiences. Thus helping children to understand various things in the teaching and learning process, both inside and outside the classroom. One of the learning resources that can be used is animated video media that can provide fun and enthusiasm and help children understand various things.</w:t>
      </w:r>
    </w:p>
    <w:p>
      <w:pPr>
        <w:snapToGrid w:val="0"/>
        <w:spacing w:after="0" w:line="360" w:lineRule="auto"/>
        <w:ind w:right="77" w:firstLine="426"/>
        <w:jc w:val="both"/>
        <w:rPr>
          <w:rFonts w:ascii="Times New Roman" w:hAnsi="Times New Roman" w:eastAsia="Palatino" w:cs="Times New Roman"/>
          <w:color w:val="000000"/>
          <w:sz w:val="24"/>
          <w:szCs w:val="24"/>
          <w:lang w:val="en-US"/>
        </w:rPr>
      </w:pPr>
      <w:r>
        <w:rPr>
          <w:rFonts w:ascii="Times New Roman" w:hAnsi="Times New Roman" w:eastAsia="Palatino" w:cs="Times New Roman"/>
          <w:color w:val="000000"/>
          <w:sz w:val="24"/>
          <w:szCs w:val="24"/>
          <w:lang w:val="en-US"/>
        </w:rPr>
        <w:t xml:space="preserve">Animated learning media according to Darojah (2011) animated film media is an audiovisual media in the form of a series of inanimate images that are sequentially on the frame and projected mechanically electronically so that they appear alive on the screen </w:t>
      </w:r>
      <w:r>
        <w:rPr>
          <w:rFonts w:ascii="Times New Roman" w:hAnsi="Times New Roman" w:eastAsia="Palatino" w:cs="Times New Roman"/>
          <w:color w:val="000000"/>
          <w:sz w:val="24"/>
          <w:szCs w:val="24"/>
          <w:lang w:val="en-US"/>
        </w:rPr>
        <w:fldChar w:fldCharType="begin" w:fldLock="1"/>
      </w:r>
      <w:r>
        <w:rPr>
          <w:rFonts w:ascii="Times New Roman" w:hAnsi="Times New Roman" w:eastAsia="Palatino" w:cs="Times New Roman"/>
          <w:color w:val="000000"/>
          <w:sz w:val="24"/>
          <w:szCs w:val="24"/>
          <w:lang w:val="en-US"/>
        </w:rPr>
        <w:instrText xml:space="preserve">ADDIN CSL_CITATION {"citationItems":[{"id":"ITEM-1","itemData":{"DOI":"10.30870/jppi.v1i1.283","ISSN":"2477-1422","abstract":"The research aims to develop animation film as a learning media in photosynthesis concept learning and to know the results of the assessment of the learning media expert test the concept of photosynthesis animated films. This research is Research and Development (R&amp;D). The research used questionnaire Aspects of assessment in terms of the media covering aspects of technical quality, narration, and music/sound effects. Aspects of the assessment of the suitability of the material terms covering the material aspects of the curriculum, the clarity of the material, the order of the material, communicative, suitability of the material with the purpose of learning, material relationship with the students' critical thinking skill, and material relationship with motivation. Media expert test against \"Cahaya dan Fotosintesis\" animated film made by media experts with a percentage of 80,6% with the as good category, and 92,5% are material expert excellent category. Based on the \"Cahaya dan Fotosintesis\" animated film expert test to students can be tasted on a limited basis, after the media deficiencies corrected.","author":[{"dropping-particle":"","family":"Hasanah","given":"Umrotul","non-dropping-particle":"","parse-names":false,"suffix":""},{"dropping-particle":"","family":"Nulhakim","given":"Lukman","non-dropping-particle":"","parse-names":false,"suffix":""}],"container-title":"Jurnal Penelitian dan Pembelajaran IPA","id":"ITEM-1","issue":"1","issued":{"date-parts":[["2015"]]},"page":"91","title":"Pengembangan Media Pembelajaran Film Animasi Sebagai Media Pembelajaran Konsep Fotosintesis","type":"article-journal","volume":"1"},"uris":["http://www.mendeley.com/documents/?uuid=bb832480-d9a7-4504-b743-9f214af1258b"]}],"mendeley":{"formattedCitation":"(Hasanah &amp; Nulhakim, 2015)","plainTextFormattedCitation":"(Hasanah &amp; Nulhakim, 2015)","previouslyFormattedCitation":"(Hasanah &amp; Nulhakim, 2015)"},"properties":{"noteIndex":0},"schema":"https://github.com/citation-style-language/schema/raw/master/csl-citation.json"}</w:instrText>
      </w:r>
      <w:r>
        <w:rPr>
          <w:rFonts w:ascii="Times New Roman" w:hAnsi="Times New Roman" w:eastAsia="Palatino" w:cs="Times New Roman"/>
          <w:color w:val="000000"/>
          <w:sz w:val="24"/>
          <w:szCs w:val="24"/>
          <w:lang w:val="en-US"/>
        </w:rPr>
        <w:fldChar w:fldCharType="separate"/>
      </w:r>
      <w:r>
        <w:rPr>
          <w:rFonts w:ascii="Times New Roman" w:hAnsi="Times New Roman" w:eastAsia="Palatino" w:cs="Times New Roman"/>
          <w:color w:val="000000"/>
          <w:sz w:val="24"/>
          <w:szCs w:val="24"/>
          <w:lang w:val="en-US"/>
        </w:rPr>
        <w:t>(Hasanah &amp; Nulhakim, 2015)</w:t>
      </w:r>
      <w:r>
        <w:rPr>
          <w:rFonts w:ascii="Times New Roman" w:hAnsi="Times New Roman" w:eastAsia="Palatino" w:cs="Times New Roman"/>
          <w:color w:val="000000"/>
          <w:sz w:val="24"/>
          <w:szCs w:val="24"/>
          <w:lang w:val="en-US"/>
        </w:rPr>
        <w:fldChar w:fldCharType="end"/>
      </w:r>
      <w:r>
        <w:rPr>
          <w:rFonts w:ascii="Times New Roman" w:hAnsi="Times New Roman" w:eastAsia="Palatino" w:cs="Times New Roman"/>
          <w:color w:val="000000"/>
          <w:sz w:val="24"/>
          <w:szCs w:val="24"/>
          <w:lang w:val="en-US"/>
        </w:rPr>
        <w:t>. Animated media are images that are made to look alive so that they can attract children's attention and are fun for children.</w:t>
      </w:r>
    </w:p>
    <w:p>
      <w:pPr>
        <w:snapToGrid w:val="0"/>
        <w:spacing w:after="0" w:line="360" w:lineRule="auto"/>
        <w:ind w:right="77" w:firstLine="426"/>
        <w:jc w:val="both"/>
        <w:rPr>
          <w:rFonts w:ascii="Times New Roman" w:hAnsi="Times New Roman" w:eastAsia="Palatino" w:cs="Times New Roman"/>
          <w:color w:val="000000"/>
          <w:sz w:val="24"/>
          <w:szCs w:val="24"/>
          <w:lang w:val="en-US"/>
        </w:rPr>
      </w:pPr>
      <w:r>
        <w:rPr>
          <w:rFonts w:ascii="Times New Roman" w:hAnsi="Times New Roman" w:eastAsia="Palatino" w:cs="Times New Roman"/>
          <w:color w:val="000000"/>
          <w:sz w:val="24"/>
          <w:szCs w:val="24"/>
          <w:lang w:val="en-US"/>
        </w:rPr>
        <w:t xml:space="preserve">More specifically regarding audio-visual media which includes animated videos, as Silvio </w:t>
      </w:r>
      <w:r>
        <w:rPr>
          <w:rFonts w:ascii="Times New Roman" w:hAnsi="Times New Roman" w:eastAsia="Palatino" w:cs="Times New Roman"/>
          <w:color w:val="000000"/>
          <w:sz w:val="24"/>
          <w:szCs w:val="24"/>
          <w:lang w:val="en-US"/>
        </w:rPr>
        <w:fldChar w:fldCharType="begin" w:fldLock="1"/>
      </w:r>
      <w:r>
        <w:rPr>
          <w:rFonts w:ascii="Times New Roman" w:hAnsi="Times New Roman" w:eastAsia="Palatino" w:cs="Times New Roman"/>
          <w:color w:val="000000"/>
          <w:sz w:val="24"/>
          <w:szCs w:val="24"/>
          <w:lang w:val="en-US"/>
        </w:rPr>
        <w:instrText xml:space="preserve">ADDIN CSL_CITATION {"citationItems":[{"id":"ITEM-1","itemData":{"DOI":"10.1111/j.1548-1395.2010.01078.x","ISSN":"10551360","abstract":"From the 1950s through the 1990s, the trope of performance was elaborated across a range of academic disciplines, providing a platform for comparing the construction of identities through mimetic embodiment in ritual, work, and everyday life. Today, as animation is being remediated through digital media, both scholars and participants in various types of online communities are beginning to use animation as a trope for human action on/in the world. This essay attempts to bring together the insights of recent scholarship in various disciplines in order to outline a general animation model, first presenting some of the characteristics of animation that allow it to draw connections between social, technological, and psychic structures, and then examining some of the ways that the models of animation and performance interact in contemporary subcultural practices. [animation, performance, remediation, media ideologies, techno-cultures]. © 2010 by the American Anthropological Association.","author":[{"dropping-particle":"","family":"Silvio","given":"Teri","non-dropping-particle":"","parse-names":false,"suffix":""}],"container-title":"Journal of Linguistic Anthropology","id":"ITEM-1","issue":"2","issued":{"date-parts":[["2010"]]},"page":"422-438","title":"Animation: The New Performance?","type":"article-journal","volume":"20"},"uris":["http://www.mendeley.com/documents/?uuid=e12a9001-7dac-41cd-a878-80db2bccc152"]}],"mendeley":{"formattedCitation":"(Silvio, 2010)","plainTextFormattedCitation":"(Silvio, 2010)","previouslyFormattedCitation":"(Silvio, 2010)"},"properties":{"noteIndex":0},"schema":"https://github.com/citation-style-language/schema/raw/master/csl-citation.json"}</w:instrText>
      </w:r>
      <w:r>
        <w:rPr>
          <w:rFonts w:ascii="Times New Roman" w:hAnsi="Times New Roman" w:eastAsia="Palatino" w:cs="Times New Roman"/>
          <w:color w:val="000000"/>
          <w:sz w:val="24"/>
          <w:szCs w:val="24"/>
          <w:lang w:val="en-US"/>
        </w:rPr>
        <w:fldChar w:fldCharType="separate"/>
      </w:r>
      <w:r>
        <w:rPr>
          <w:rFonts w:ascii="Times New Roman" w:hAnsi="Times New Roman" w:eastAsia="Palatino" w:cs="Times New Roman"/>
          <w:color w:val="000000"/>
          <w:sz w:val="24"/>
          <w:szCs w:val="24"/>
          <w:lang w:val="en-US"/>
        </w:rPr>
        <w:t>(Silvio, 2010)</w:t>
      </w:r>
      <w:r>
        <w:rPr>
          <w:rFonts w:ascii="Times New Roman" w:hAnsi="Times New Roman" w:eastAsia="Palatino" w:cs="Times New Roman"/>
          <w:color w:val="000000"/>
          <w:sz w:val="24"/>
          <w:szCs w:val="24"/>
          <w:lang w:val="en-US"/>
        </w:rPr>
        <w:fldChar w:fldCharType="end"/>
      </w:r>
      <w:r>
        <w:rPr>
          <w:rFonts w:ascii="Times New Roman" w:hAnsi="Times New Roman" w:eastAsia="Palatino" w:cs="Times New Roman"/>
          <w:color w:val="000000"/>
          <w:sz w:val="24"/>
          <w:szCs w:val="24"/>
          <w:lang w:val="en-US"/>
        </w:rPr>
        <w:t xml:space="preserve"> argues that based on the perspective of professional animators and art scholars who define animation as a medium. It can be concluded that animation is an audio-visual media that is projected to display the content contained in it (knowledge) and is expected to build an innovative, interactive, and child-centered learning environment. Currently, the perspective of audio-visual media (animation) as a teaching-learning tool, but more broadly as part of the social and cultural environment of children.</w:t>
      </w:r>
    </w:p>
    <w:p>
      <w:pPr>
        <w:snapToGrid w:val="0"/>
        <w:spacing w:after="0" w:line="360" w:lineRule="auto"/>
        <w:ind w:right="77" w:firstLine="426"/>
        <w:jc w:val="both"/>
        <w:rPr>
          <w:rFonts w:ascii="Times New Roman" w:hAnsi="Times New Roman" w:eastAsia="Palatino" w:cs="Times New Roman"/>
          <w:color w:val="000000"/>
          <w:sz w:val="24"/>
          <w:szCs w:val="24"/>
          <w:lang w:val="en-US"/>
        </w:rPr>
      </w:pPr>
    </w:p>
    <w:p>
      <w:pPr>
        <w:pStyle w:val="10"/>
        <w:numPr>
          <w:ilvl w:val="0"/>
          <w:numId w:val="1"/>
        </w:numPr>
        <w:snapToGrid w:val="0"/>
        <w:spacing w:after="0" w:line="360" w:lineRule="auto"/>
        <w:ind w:left="426" w:right="77"/>
        <w:jc w:val="both"/>
        <w:rPr>
          <w:rFonts w:ascii="Times New Roman" w:hAnsi="Times New Roman" w:eastAsia="Palatino" w:cs="Times New Roman"/>
          <w:color w:val="000000"/>
          <w:sz w:val="24"/>
          <w:szCs w:val="24"/>
          <w:lang w:val="en-US"/>
        </w:rPr>
      </w:pPr>
      <w:r>
        <w:rPr>
          <w:rFonts w:ascii="Times New Roman" w:hAnsi="Times New Roman" w:cs="Times New Roman"/>
          <w:b/>
          <w:iCs/>
          <w:sz w:val="24"/>
          <w:szCs w:val="24"/>
          <w:lang w:val="en-US"/>
        </w:rPr>
        <w:t>RESEARCH METHODS</w:t>
      </w:r>
    </w:p>
    <w:p>
      <w:pPr>
        <w:snapToGrid w:val="0"/>
        <w:spacing w:after="0" w:line="360" w:lineRule="auto"/>
        <w:ind w:left="66"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This journal uses a literature review method that collects and analyzes data based on existing journals and literature. Literature and journals are used to support and build views on animated videos as learning media for earthquake preparedness for early childhood. This research was conducted in Lombok Indonesia which took 3 months to find and review existing sources.</w:t>
      </w:r>
    </w:p>
    <w:p>
      <w:pPr>
        <w:snapToGrid w:val="0"/>
        <w:spacing w:after="0" w:line="360" w:lineRule="auto"/>
        <w:ind w:left="66" w:firstLine="360"/>
        <w:jc w:val="both"/>
        <w:rPr>
          <w:rFonts w:ascii="Times New Roman" w:hAnsi="Times New Roman" w:cs="Times New Roman"/>
          <w:sz w:val="24"/>
          <w:szCs w:val="24"/>
          <w:lang w:val="en-US"/>
        </w:rPr>
      </w:pPr>
    </w:p>
    <w:p>
      <w:pPr>
        <w:pStyle w:val="10"/>
        <w:numPr>
          <w:ilvl w:val="0"/>
          <w:numId w:val="1"/>
        </w:numPr>
        <w:snapToGrid w:val="0"/>
        <w:spacing w:after="0" w:line="360" w:lineRule="auto"/>
        <w:ind w:left="426"/>
        <w:jc w:val="both"/>
        <w:rPr>
          <w:rFonts w:ascii="Times New Roman" w:hAnsi="Times New Roman" w:cs="Times New Roman"/>
          <w:b/>
          <w:sz w:val="24"/>
          <w:szCs w:val="24"/>
          <w:lang w:val="en-US"/>
        </w:rPr>
      </w:pPr>
      <w:r>
        <w:rPr>
          <w:rFonts w:ascii="Times New Roman" w:hAnsi="Times New Roman" w:cs="Times New Roman"/>
          <w:b/>
          <w:sz w:val="24"/>
          <w:szCs w:val="24"/>
          <w:lang w:val="en-US"/>
        </w:rPr>
        <w:t>RESULT AND DISCUSSION</w:t>
      </w:r>
    </w:p>
    <w:p>
      <w:pPr>
        <w:snapToGrid w:val="0"/>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Psychological distress and cognitive problems caused by the impact of the earthquake are things to be considered and overcome. As it is known that earthquakes can come at any time and happen to anyone because disasters are natural disasters that occur due to nature itself. Therefore, everyone is expected to have information and knowledge about disaster management measures to reduce disaster risk and losses. According to</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(Law No. 24 of 2007 concerning Disaster Management, 2007) disaster is a series of events that affect people's lives caused by natural factors or due to human negligence. Resulting in safety, damage, loss of property, and prolonged psychological problems. This is supported by Solfiah's opinion which defines a disaster as an event that can befall the community and result in losses. Losses due to disasters can be reduced if community resources can be increased. As a component of society, children need to be prepared to know about disaster management</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CSL_CITATION {"citationItems":[{"id":"ITEM-1","itemData":{"DOI":"10.21009/141.10","ISSN":"1693-1602","abstract":"Indonesia is a country that has a high potential for natural disasters. Picture story book is a form of disaster management learning that can help children from an early age to prepare for a natural disaster. The aims of this study to develop story books as a disaster management learning media, to improve knowledge and skills of children and teacher about the understanding, principles, and actions of rescue when facing the natural disasters, to increase the teacher’s learning quality in disaster management. Developmental research approach is used to execute the study. A total of 48 children aged 5-6 years have to carry out pre-test and post-test. Pre-test data shows that children's knowledge about disaster management with an average of 47.92% and its improved at post-test with 76,88%. Five theme of story books involves floods, landslides, earthquakes, tsunamis, lands and forest fires is the product. Dissemination of five story books are proper for children and improve their understanding of disaster management.\r Keywords: Early Childhood Education, Management Disaster, Storybooks\r Reference:\r \r \r \r Abulnour, A. H. (2013). Towards efficient disaster management in Egypt. Housing and Building National Research Center. https://doi.org/10.1016/j.hbrcj.2013.07.004\r Adiyoyoso, W. (2018). Manajemen Bencana. Jakarta: Bumi Aksara.\r Anderson, T., &amp; Shattuck, J. (2012). Design-based research: A decade of progress in education research? Educational Researcher, 41(1), 16–25. https://doi.org/10.3102/0013189X11428813\r Batič, J. (2019). Reading Picture Books in Preschool and Lower Grades of Primary School. Center for Educational Policy Studies Journal, (November), 1–18. https://doi.org/10.26529/cepsj.554\r Bosschaart, A., van der Schee, J., Kuiper, W., &amp; Schoonenboom, J. (2016). Evaluating a flood- risk education program in the Netherlands. Studies in Educational Evaluation, 50, 53–61. https://doi.org/10.1016/j.stueduc.2016.07.002\r Codreanu, T. A., Celenza, A., &amp; Jacobs, I. (2014). Does disaster education of teenagers translate into better survival knowledge, knowledge of skills, and adaptive behavioral change? A systematic literature review. Prehospital and Disaster Medicine, 29(6), 629–642. https://doi.org/10.1017/S1049023X14001083\r Delicado, A., Rowland, J., Fonseca, S., &amp; Nunes, A. (2017). Children in Disaster Risk Reduction in Portugal : Policies , Education , and ( Non ) Participation. 246–257. https://doi.org/10.1007/s13753-017-0138-5\r Demiroz, F., &amp; Haase, T. W. …","author":[{"dropping-particle":"","family":"Solfiah","given":"Yeni Solfiah","non-dropping-particle":"","parse-names":false,"suffix":""},{"dropping-particle":"","family":"Risma","given":"Devi","non-dropping-particle":"","parse-names":false,"suffix":""},{"dropping-particle":"","family":"Hukmi","given":"","non-dropping-particle":"","parse-names":false,"suffix":""},{"dropping-particle":"","family":"Kurnia","given":"Rita","non-dropping-particle":"","parse-names":false,"suffix":""}],"container-title":"JPUD - Jurnal Pendidikan Usia Dini","id":"ITEM-1","issue":"1","issued":{"date-parts":[["2020"]]},"page":"141-155","title":"Early Childhood Disaster Management Media Through Picture Story Books","type":"article-journal","volume":"14"},"uris":["http://www.mendeley.com/documents/?uuid=cc7a60d3-1113-428d-b903-7d7c87371c94"]}],"mendeley":{"formattedCitation":"(Y. S. Solfiah et al., 2020)","plainTextFormattedCitation":"(Y. S. Solfiah et al., 2020)","previouslyFormattedCitation":"(Y. S. Solfiah et al., 2020)"},"properties":{"noteIndex":0},"schema":"https://github.com/citation-style-language/schema/raw/master/csl-citation.json"}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sz w:val="24"/>
          <w:szCs w:val="24"/>
          <w:lang w:val="en-US"/>
        </w:rPr>
        <w:t>(Y. S. Solfiah et al., 2020)</w:t>
      </w:r>
      <w:r>
        <w:rPr>
          <w:rFonts w:ascii="Times New Roman" w:hAnsi="Times New Roman" w:cs="Times New Roman"/>
          <w:sz w:val="24"/>
          <w:szCs w:val="24"/>
          <w:lang w:val="en-US"/>
        </w:rPr>
        <w:fldChar w:fldCharType="end"/>
      </w:r>
      <w:r>
        <w:rPr>
          <w:rFonts w:ascii="Times New Roman" w:hAnsi="Times New Roman" w:cs="Times New Roman"/>
          <w:sz w:val="24"/>
          <w:szCs w:val="24"/>
        </w:rPr>
        <w:t>.</w:t>
      </w:r>
    </w:p>
    <w:p>
      <w:pPr>
        <w:snapToGrid w:val="0"/>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As stated by Delicado et al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CSL_CITATION {"citationItems":[{"id":"ITEM-1","itemData":{"DOI":"10.1007/s13753-017-0138-5","ISSN":"21926395","abstract":"International agencies and scientific research have been calling for the inclusion of children in disaster preparedness and risk reduction, to hear their voices in order to address their specific needs and vulnerabilities and harness their capabilities in terms of building community resilience. This article assesses the roles ascribed to children in policy and education for disaster risk reduction in Portugal. The approach is based on a scoping methodology that encompasses document analysis and interviews with national and local stakeholders and policymakers in the disaster risk reduction field. The research is carried out within the scope of a European funded project, CUIDAR Cultures of Disaster Resilience among Children and Young People. More specifically, the article provides an overview of the discourses on the roles ascribed to children in urban disaster risk reduction (DRR). The authors maintain that although children are often taken as a target group in urban disaster prevention and management, they are seldom considered in terms of active participation in disaster risk reduction programs in the Portuguese context. Nevertheless, our analysis shows that there is a growing awareness of the relevance of active participation by children in order to create successful DRR.","author":[{"dropping-particle":"","family":"Delicado","given":"Ana","non-dropping-particle":"","parse-names":false,"suffix":""},{"dropping-particle":"","family":"Rowland","given":"Jussara","non-dropping-particle":"","parse-names":false,"suffix":""},{"dropping-particle":"","family":"Fonseca","given":"Susana","non-dropping-particle":"","parse-names":false,"suffix":""},{"dropping-particle":"","family":"Almeida","given":"Ana Nunes","non-dropping-particle":"de","parse-names":false,"suffix":""},{"dropping-particle":"","family":"Schmidt","given":"Luísa","non-dropping-particle":"","parse-names":false,"suffix":""},{"dropping-particle":"","family":"Ribeiro","given":"Ana Sofia","non-dropping-particle":"","parse-names":false,"suffix":""}],"container-title":"International Journal of Disaster Risk Science","id":"ITEM-1","issue":"3","issued":{"date-parts":[["2017"]]},"page":"246-257","title":"Children in Disaster Risk Reduction in Portugal: Policies, Education, and (Non) Participation","type":"article-journal","volume":"8"},"uris":["http://www.mendeley.com/documents/?uuid=0e088ec3-d076-42eb-82d6-a5fd2041692e"]}],"mendeley":{"formattedCitation":"(Delicado et al., 2017)","plainTextFormattedCitation":"(Delicado et al., 2017)","previouslyFormattedCitation":"(Delicado et al.,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sz w:val="24"/>
          <w:szCs w:val="24"/>
        </w:rPr>
        <w:t>(Delicado et al., 2017)</w:t>
      </w:r>
      <w:r>
        <w:rPr>
          <w:rFonts w:ascii="Times New Roman" w:hAnsi="Times New Roman" w:cs="Times New Roman"/>
          <w:sz w:val="24"/>
          <w:szCs w:val="24"/>
        </w:rPr>
        <w:fldChar w:fldCharType="end"/>
      </w:r>
      <w:r>
        <w:rPr>
          <w:rFonts w:ascii="Times New Roman" w:hAnsi="Times New Roman" w:cs="Times New Roman"/>
          <w:sz w:val="24"/>
          <w:szCs w:val="24"/>
        </w:rPr>
        <w:t xml:space="preserve"> that International bodies and scientific research have called for children to be included in disaster preparedness and risk reduction, to hear their voices to address their specific needs and vulnerabilities, and utilize their capacities. them in terms of building community resilience. Citizens are more likely to adhere to the plans and rules they have helped build and that can be an important element of strengthening resilience. Children are an important part of the community but their perceptions and needs are not the same as adults and they have an important role in risk prevention and mitigation.</w:t>
      </w:r>
    </w:p>
    <w:p>
      <w:pPr>
        <w:snapToGrid w:val="0"/>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Experiences of international institutions in the field, as well as case studies in the scientific literature</w:t>
      </w:r>
      <w:r>
        <w:rPr>
          <w:rFonts w:ascii="Times New Roman" w:hAnsi="Times New Roman" w:cs="Times New Roman"/>
          <w:sz w:val="24"/>
          <w:szCs w:val="24"/>
          <w:lang w:val="en-US"/>
        </w:rPr>
        <w:t xml:space="preserve"> </w:t>
      </w:r>
      <w:r>
        <w:rPr>
          <w:rFonts w:ascii="Times New Roman" w:hAnsi="Times New Roman" w:cs="Times New Roman"/>
          <w:sz w:val="24"/>
          <w:szCs w:val="24"/>
        </w:rPr>
        <w:t>(Shaw et al. 2004; Mitchell et al. 2008; Tanner 2010; Lopez et al. 2012; Towers et al. 2014; Ronan et al. 2016) show that involving children Children both at the stage of prevention and mitigation of potential disasters as well as in the stage of rescue, relief, and rehabilitation of a disaster have a positive impact in terms of reducing risks and impacts. The use of animated video media as a learning medium for earthquake disaster preparedness in early childhood helps maximize the learning objectives, namely increasing children's preparedness for earthquake disasters. Also, the importance of earthquake preparedness education as early as possible as disaster management and earthquake risk reduction. This is based on various kinds of literature that have been studied.</w:t>
      </w:r>
    </w:p>
    <w:p>
      <w:pPr>
        <w:snapToGrid w:val="0"/>
        <w:spacing w:after="0" w:line="360" w:lineRule="auto"/>
        <w:ind w:firstLine="426"/>
        <w:jc w:val="both"/>
        <w:rPr>
          <w:rFonts w:ascii="Times New Roman" w:hAnsi="Times New Roman" w:cs="Times New Roman"/>
          <w:sz w:val="24"/>
          <w:szCs w:val="24"/>
        </w:rPr>
      </w:pPr>
    </w:p>
    <w:p>
      <w:pPr>
        <w:snapToGrid w:val="0"/>
        <w:spacing w:after="0" w:line="360" w:lineRule="auto"/>
        <w:jc w:val="both"/>
        <w:rPr>
          <w:rFonts w:ascii="Times New Roman" w:hAnsi="Times New Roman" w:cs="Times New Roman"/>
          <w:sz w:val="24"/>
          <w:szCs w:val="24"/>
        </w:rPr>
      </w:pPr>
      <w:r>
        <w:rPr>
          <w:rFonts w:ascii="Times New Roman" w:hAnsi="Times New Roman" w:cs="Times New Roman"/>
          <w:b/>
          <w:sz w:val="24"/>
          <w:szCs w:val="24"/>
          <w:lang w:val="en-US"/>
        </w:rPr>
        <w:t>CONCLUSION</w:t>
      </w:r>
    </w:p>
    <w:p>
      <w:pPr>
        <w:snapToGrid w:val="0"/>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Early childhood is a group that is vulnerable to the risks and threats of disasters that befall them. So that in government regulations, children are a group that gets special protection from the threat of disaster. Therefore, to reduce the risk of disasters that can befall children, empowering children, one of which is through learning about earthquake disaster preparedness, is expected to reduce disaster risk and community protection efforts through children by preparing children for earthquake disasters.</w:t>
      </w:r>
    </w:p>
    <w:p>
      <w:pPr>
        <w:snapToGrid w:val="0"/>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Disaster preparedness learning for early childhood can be done anywhere and by anyone. One of them can be done in formal educational institutions through learning about earthquake disaster preparedness. Learning about earthquake disaster preparedness can use various animated video media that are interesting, varied, and easily understood by children. Animated video media can help maximize learning objectives. As it is known that nowadays children cannot be separated from technology, so utilizing technology as a learning medium is a right solution.</w:t>
      </w:r>
    </w:p>
    <w:p>
      <w:pPr>
        <w:snapToGrid w:val="0"/>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Animated videos are very effective in transferring understanding about earthquakes so that children can understand earthquakes and earthquake rescue and response. In addition, earthquake animation videos can mature children's knowledge and readiness to face earthquakes so that children are more cognitively and emotionally mature. It can be concluded that disaster preparedness education needs to be given as early as possible and needs to be considered so that it can be included in the official education curriculum.</w:t>
      </w:r>
    </w:p>
    <w:p>
      <w:pPr>
        <w:snapToGrid w:val="0"/>
        <w:spacing w:after="0" w:line="36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The findings in this paper indicate that the importance of earthquake preparedness education is carried out as early as possible as a form of reducing earthquake risk and inculcating knowledge and readiness of children to face earthquake disasters. In addition, the importance of children's involvement in learning earthquake disaster preparedness, so as to maximize the potential and knowledge of children. And the use of animated video media as a learning medium for earthquake preparedness in early childhood helps maximize learning objectives, namely children's knowledge and preparedness for earthquakes. Learning about earthquake disaster preparedness is expected to reduce disaster risk and community protection efforts through children by preparing children for earthquake disasters.</w:t>
      </w:r>
    </w:p>
    <w:p>
      <w:pPr>
        <w:snapToGrid w:val="0"/>
        <w:spacing w:after="0" w:line="360" w:lineRule="auto"/>
        <w:ind w:firstLine="426"/>
        <w:jc w:val="both"/>
        <w:rPr>
          <w:rFonts w:ascii="Times New Roman" w:hAnsi="Times New Roman" w:cs="Times New Roman"/>
          <w:sz w:val="24"/>
          <w:szCs w:val="24"/>
          <w:lang w:val="en-US"/>
        </w:rPr>
      </w:pPr>
    </w:p>
    <w:p>
      <w:pPr>
        <w:snapToGrid w:val="0"/>
        <w:spacing w:after="0" w:line="360" w:lineRule="auto"/>
        <w:rPr>
          <w:rFonts w:ascii="Times New Roman" w:hAnsi="Times New Roman"/>
          <w:b/>
          <w:sz w:val="24"/>
          <w:szCs w:val="24"/>
          <w:lang w:val="en-US"/>
        </w:rPr>
      </w:pPr>
      <w:r>
        <w:rPr>
          <w:rFonts w:ascii="Times New Roman" w:hAnsi="Times New Roman"/>
          <w:b/>
          <w:sz w:val="24"/>
          <w:szCs w:val="24"/>
          <w:lang w:val="en-US"/>
        </w:rPr>
        <w:t>REFERENCES</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Amelia, L., Hayati, F., &amp; Milfayetti, S. (2015). </w:t>
      </w:r>
      <w:r>
        <w:rPr>
          <w:rFonts w:ascii="Times New Roman" w:hAnsi="Times New Roman" w:cs="Times New Roman"/>
          <w:i/>
          <w:iCs/>
          <w:sz w:val="24"/>
          <w:szCs w:val="24"/>
        </w:rPr>
        <w:t>Integrating Disaster Alert Kindergarten Watching into Preschool Education : Designing a Professional Disaster Mitigation Education Model to Early Children</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Amri, I., Ansariadi, Amiruddin, R., Palutturi, S., Mallongi, A., Nur, R., &amp; Sari, N. E. (2020). The influence of disaster counseling with animation video on preparedness students in elementary school in Palu. </w:t>
      </w:r>
      <w:r>
        <w:rPr>
          <w:rFonts w:ascii="Times New Roman" w:hAnsi="Times New Roman" w:cs="Times New Roman"/>
          <w:i/>
          <w:iCs/>
          <w:sz w:val="24"/>
          <w:szCs w:val="24"/>
        </w:rPr>
        <w:t>Medico-Legal Update</w:t>
      </w:r>
      <w:r>
        <w:rPr>
          <w:rFonts w:ascii="Times New Roman" w:hAnsi="Times New Roman" w:cs="Times New Roman"/>
          <w:sz w:val="24"/>
          <w:szCs w:val="24"/>
        </w:rPr>
        <w:t xml:space="preserve">, </w:t>
      </w:r>
      <w:r>
        <w:rPr>
          <w:rFonts w:ascii="Times New Roman" w:hAnsi="Times New Roman" w:cs="Times New Roman"/>
          <w:i/>
          <w:iCs/>
          <w:sz w:val="24"/>
          <w:szCs w:val="24"/>
        </w:rPr>
        <w:t>20</w:t>
      </w:r>
      <w:r>
        <w:rPr>
          <w:rFonts w:ascii="Times New Roman" w:hAnsi="Times New Roman" w:cs="Times New Roman"/>
          <w:sz w:val="24"/>
          <w:szCs w:val="24"/>
        </w:rPr>
        <w:t>(1), 1302–1306. https://doi.org/10.37506/v20/il/2020/mlu/194482</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Apriliani, D. A., Adiarti, W., &amp; Info, A. (2017). </w:t>
      </w:r>
      <w:r>
        <w:rPr>
          <w:rFonts w:ascii="Times New Roman" w:hAnsi="Times New Roman" w:cs="Times New Roman"/>
          <w:i/>
          <w:iCs/>
          <w:sz w:val="24"/>
          <w:szCs w:val="24"/>
        </w:rPr>
        <w:t>Early Childhood Education Papers ( Belia ) Personal Safety Knowledge of Landslide Disaster Based on The Application of Adobe Flash CS5 Media At Kindergarten PGRI Tunas Patriot Banjarnegara</w:t>
      </w:r>
      <w:r>
        <w:rPr>
          <w:rFonts w:ascii="Times New Roman" w:hAnsi="Times New Roman" w:cs="Times New Roman"/>
          <w:sz w:val="24"/>
          <w:szCs w:val="24"/>
        </w:rPr>
        <w:t xml:space="preserve">. </w:t>
      </w:r>
      <w:r>
        <w:rPr>
          <w:rFonts w:ascii="Times New Roman" w:hAnsi="Times New Roman" w:cs="Times New Roman"/>
          <w:i/>
          <w:iCs/>
          <w:sz w:val="24"/>
          <w:szCs w:val="24"/>
        </w:rPr>
        <w:t>6</w:t>
      </w:r>
      <w:r>
        <w:rPr>
          <w:rFonts w:ascii="Times New Roman" w:hAnsi="Times New Roman" w:cs="Times New Roman"/>
          <w:sz w:val="24"/>
          <w:szCs w:val="24"/>
        </w:rPr>
        <w:t>(2).</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Arief Mustofa Nur/Balai Informasi dan Konservasi Kebumian Karangsambung – LIPI, K. (2010). </w:t>
      </w:r>
      <w:r>
        <w:rPr>
          <w:rFonts w:ascii="Times New Roman" w:hAnsi="Times New Roman" w:cs="Times New Roman"/>
          <w:i/>
          <w:iCs/>
          <w:sz w:val="24"/>
          <w:szCs w:val="24"/>
        </w:rPr>
        <w:t>GEMPA BUMI, TSUNAMI DAN MITIGASINYA</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(1).</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Daniel, B. (2010). Concepts of Adversity, Risk, Vulnerability, and Resilience: A Discussion in the Context of the 'Child Protection System.' </w:t>
      </w:r>
      <w:r>
        <w:rPr>
          <w:rFonts w:ascii="Times New Roman" w:hAnsi="Times New Roman" w:cs="Times New Roman"/>
          <w:i/>
          <w:iCs/>
          <w:sz w:val="24"/>
          <w:szCs w:val="24"/>
        </w:rPr>
        <w:t>Social Policy and Society</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(2), 231–241. https://doi.org/10.1017/s1474746409990364</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Delicado, A., Rowland, J., Fonseca, S., de Almeida, A. N., Schmidt, L., &amp; Ribeiro, A. S. (2017). Children in Disaster Risk Reduction in Portugal: Policies, Education, and (Non) Participation. </w:t>
      </w:r>
      <w:r>
        <w:rPr>
          <w:rFonts w:ascii="Times New Roman" w:hAnsi="Times New Roman" w:cs="Times New Roman"/>
          <w:i/>
          <w:iCs/>
          <w:sz w:val="24"/>
          <w:szCs w:val="24"/>
        </w:rPr>
        <w:t>International Journal of Disaster Risk Science</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(3), 246–257. https://doi.org/10.1007/s13753-017-0138-5</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Desfandi, M. (2014). Urgensi Kurikulum Pendidikan Kebencanaan Berbasis Kearifan Lokal Di Indonesia. </w:t>
      </w:r>
      <w:r>
        <w:rPr>
          <w:rFonts w:ascii="Times New Roman" w:hAnsi="Times New Roman" w:cs="Times New Roman"/>
          <w:i/>
          <w:iCs/>
          <w:sz w:val="24"/>
          <w:szCs w:val="24"/>
        </w:rPr>
        <w:t>SOSIO DIDAKTIKA: Social Science Education Journal</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(2). https://doi.org/10.15408/sd.v1i2.1261</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Hasanah, U., &amp; Nulhakim, L. (2015). Pengembangan Media Pembelajaran Film Animasi Sebagai Media Pembelajaran Konsep Fotosintesis. </w:t>
      </w:r>
      <w:r>
        <w:rPr>
          <w:rFonts w:ascii="Times New Roman" w:hAnsi="Times New Roman" w:cs="Times New Roman"/>
          <w:i/>
          <w:iCs/>
          <w:sz w:val="24"/>
          <w:szCs w:val="24"/>
        </w:rPr>
        <w:t>Jurnal Penelitian Dan Pembelajaran IPA</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91. https://doi.org/10.30870/jppi.v1i1.283</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Irma Suryani, 2 Sri Adelila Sari dan 3 Sri Milfayetty. (2014). </w:t>
      </w:r>
      <w:r>
        <w:rPr>
          <w:rFonts w:ascii="Times New Roman" w:hAnsi="Times New Roman" w:cs="Times New Roman"/>
          <w:i/>
          <w:iCs/>
          <w:sz w:val="24"/>
          <w:szCs w:val="24"/>
        </w:rPr>
        <w:t>Model Quantum Teaching dalam Meningkatkan Pengetahuan Kesiapsiagaan Bencana Gempa Bumi di Sekolah Dasar 19 Banda Aceh</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(2), 88–92.</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Kristanto, W. (2018). Pengembangan Film Pendek Berbasis Karakter Pada Anak Usia Dini ( Penelitian dan Pengembangan di Taman Kanak-Kanak Islam Terpadu Wildani Surabaya ) yang of the culture and life of the school .” Education by Elkind and Sweet 2014 ). karakter banyak orang te. </w:t>
      </w:r>
      <w:r>
        <w:rPr>
          <w:rFonts w:ascii="Times New Roman" w:hAnsi="Times New Roman" w:cs="Times New Roman"/>
          <w:i/>
          <w:iCs/>
          <w:sz w:val="24"/>
          <w:szCs w:val="24"/>
        </w:rPr>
        <w:t>JURNAL PENDIDIKAN USIA DINI</w:t>
      </w:r>
      <w:r>
        <w:rPr>
          <w:rFonts w:ascii="Times New Roman" w:hAnsi="Times New Roman" w:cs="Times New Roman"/>
          <w:sz w:val="24"/>
          <w:szCs w:val="24"/>
        </w:rPr>
        <w:t xml:space="preserve">, </w:t>
      </w:r>
      <w:r>
        <w:rPr>
          <w:rFonts w:ascii="Times New Roman" w:hAnsi="Times New Roman" w:cs="Times New Roman"/>
          <w:i/>
          <w:iCs/>
          <w:sz w:val="24"/>
          <w:szCs w:val="24"/>
        </w:rPr>
        <w:t>Volume 12</w:t>
      </w:r>
      <w:r>
        <w:rPr>
          <w:rFonts w:ascii="Times New Roman" w:hAnsi="Times New Roman" w:cs="Times New Roman"/>
          <w:sz w:val="24"/>
          <w:szCs w:val="24"/>
        </w:rPr>
        <w:t>, 175–189. https://doi.org/: https://doi.org/10.21009/JPUD.121 15</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Nugroho, A. C. (2007). </w:t>
      </w:r>
      <w:r>
        <w:rPr>
          <w:rFonts w:ascii="Times New Roman" w:hAnsi="Times New Roman" w:cs="Times New Roman"/>
          <w:i/>
          <w:iCs/>
          <w:sz w:val="24"/>
          <w:szCs w:val="24"/>
        </w:rPr>
        <w:t>kajian kesiapsiagaan masyarakat dalam mengantisispasi bencana gempa bumi dan tsunami di Nias Selatan</w:t>
      </w:r>
      <w:r>
        <w:rPr>
          <w:rFonts w:ascii="Times New Roman" w:hAnsi="Times New Roman" w:cs="Times New Roman"/>
          <w:sz w:val="24"/>
          <w:szCs w:val="24"/>
        </w:rPr>
        <w:t>.</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Peraturan Pemerintah Republik Indonesia Nomor 21 Tahun 2008. (2008). Peraturan Pemerintah Republik Indonesia Nomor 21 Tahun 2008. </w:t>
      </w:r>
      <w:r>
        <w:rPr>
          <w:rFonts w:ascii="Times New Roman" w:hAnsi="Times New Roman" w:cs="Times New Roman"/>
          <w:i/>
          <w:iCs/>
          <w:sz w:val="24"/>
          <w:szCs w:val="24"/>
        </w:rPr>
        <w:t>Peraturan Pemerintah Republik Indonesia Nomor 21 Tahun 2008</w:t>
      </w:r>
      <w:r>
        <w:rPr>
          <w:rFonts w:ascii="Times New Roman" w:hAnsi="Times New Roman" w:cs="Times New Roman"/>
          <w:sz w:val="24"/>
          <w:szCs w:val="24"/>
        </w:rPr>
        <w:t>.</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Purnamasari, I. (2016). Perbedaan reaksi anak dan remaja pasca bencana. </w:t>
      </w:r>
      <w:r>
        <w:rPr>
          <w:rFonts w:ascii="Times New Roman" w:hAnsi="Times New Roman" w:cs="Times New Roman"/>
          <w:i/>
          <w:iCs/>
          <w:sz w:val="24"/>
          <w:szCs w:val="24"/>
        </w:rPr>
        <w:t>Jurnal PPKM I</w:t>
      </w:r>
      <w:r>
        <w:rPr>
          <w:rFonts w:ascii="Times New Roman" w:hAnsi="Times New Roman" w:cs="Times New Roman"/>
          <w:sz w:val="24"/>
          <w:szCs w:val="24"/>
        </w:rPr>
        <w:t>, 49–55.</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Shaw, R., &amp; Kobayashi, M. (2004). The role of schools in creating an earthquake-safer environment. </w:t>
      </w:r>
      <w:r>
        <w:rPr>
          <w:rFonts w:ascii="Times New Roman" w:hAnsi="Times New Roman" w:cs="Times New Roman"/>
          <w:i/>
          <w:iCs/>
          <w:sz w:val="24"/>
          <w:szCs w:val="24"/>
        </w:rPr>
        <w:t>Educational Facilities and Risk Management: Natural Disasters</w:t>
      </w:r>
      <w:r>
        <w:rPr>
          <w:rFonts w:ascii="Times New Roman" w:hAnsi="Times New Roman" w:cs="Times New Roman"/>
          <w:sz w:val="24"/>
          <w:szCs w:val="24"/>
        </w:rPr>
        <w:t xml:space="preserve">, </w:t>
      </w:r>
      <w:r>
        <w:rPr>
          <w:rFonts w:ascii="Times New Roman" w:hAnsi="Times New Roman" w:cs="Times New Roman"/>
          <w:i/>
          <w:iCs/>
          <w:sz w:val="24"/>
          <w:szCs w:val="24"/>
        </w:rPr>
        <w:t>9789264028</w:t>
      </w:r>
      <w:r>
        <w:rPr>
          <w:rFonts w:ascii="Times New Roman" w:hAnsi="Times New Roman" w:cs="Times New Roman"/>
          <w:sz w:val="24"/>
          <w:szCs w:val="24"/>
        </w:rPr>
        <w:t>, 41–48. https://doi.org/10.1787/9789264028340-en</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Shilpa, S., &amp; Sunita, M. (2013). A Study About Role of Multimedia in Early Childhood Education A Study About Role of Multimedia in Early Childhood Education. </w:t>
      </w:r>
      <w:r>
        <w:rPr>
          <w:rFonts w:ascii="Times New Roman" w:hAnsi="Times New Roman" w:cs="Times New Roman"/>
          <w:i/>
          <w:iCs/>
          <w:sz w:val="24"/>
          <w:szCs w:val="24"/>
        </w:rPr>
        <w:t>International Journal of Humanities and Social Science Invention</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(6), 80–85.</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Silvio, T. (2010). Animation: The New Performance? </w:t>
      </w:r>
      <w:r>
        <w:rPr>
          <w:rFonts w:ascii="Times New Roman" w:hAnsi="Times New Roman" w:cs="Times New Roman"/>
          <w:i/>
          <w:iCs/>
          <w:sz w:val="24"/>
          <w:szCs w:val="24"/>
        </w:rPr>
        <w:t>Journal of Linguistic Anthropology</w:t>
      </w:r>
      <w:r>
        <w:rPr>
          <w:rFonts w:ascii="Times New Roman" w:hAnsi="Times New Roman" w:cs="Times New Roman"/>
          <w:sz w:val="24"/>
          <w:szCs w:val="24"/>
        </w:rPr>
        <w:t xml:space="preserve">, </w:t>
      </w:r>
      <w:r>
        <w:rPr>
          <w:rFonts w:ascii="Times New Roman" w:hAnsi="Times New Roman" w:cs="Times New Roman"/>
          <w:i/>
          <w:iCs/>
          <w:sz w:val="24"/>
          <w:szCs w:val="24"/>
        </w:rPr>
        <w:t>20</w:t>
      </w:r>
      <w:r>
        <w:rPr>
          <w:rFonts w:ascii="Times New Roman" w:hAnsi="Times New Roman" w:cs="Times New Roman"/>
          <w:sz w:val="24"/>
          <w:szCs w:val="24"/>
        </w:rPr>
        <w:t>(2), 422–438. https://doi.org/10.1111/j.1548-1395.2010.01078.x</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Solfiah, Y., Risma, D., -, H., &amp; Kurnia, R. (2019). the Knowledge of Early Childhood Education Teachers About Natural Disaster Management. </w:t>
      </w:r>
      <w:r>
        <w:rPr>
          <w:rFonts w:ascii="Times New Roman" w:hAnsi="Times New Roman" w:cs="Times New Roman"/>
          <w:i/>
          <w:iCs/>
          <w:sz w:val="24"/>
          <w:szCs w:val="24"/>
        </w:rPr>
        <w:t>KINDERGARTEN: Journal of Islamic Early Childhood Education</w:t>
      </w:r>
      <w:r>
        <w:rPr>
          <w:rFonts w:ascii="Times New Roman" w:hAnsi="Times New Roman" w:cs="Times New Roman"/>
          <w:sz w:val="24"/>
          <w:szCs w:val="24"/>
        </w:rPr>
        <w:t xml:space="preserve">, </w:t>
      </w:r>
      <w:r>
        <w:rPr>
          <w:rFonts w:ascii="Times New Roman" w:hAnsi="Times New Roman" w:cs="Times New Roman"/>
          <w:i/>
          <w:iCs/>
          <w:sz w:val="24"/>
          <w:szCs w:val="24"/>
        </w:rPr>
        <w:t>2</w:t>
      </w:r>
      <w:r>
        <w:rPr>
          <w:rFonts w:ascii="Times New Roman" w:hAnsi="Times New Roman" w:cs="Times New Roman"/>
          <w:sz w:val="24"/>
          <w:szCs w:val="24"/>
        </w:rPr>
        <w:t>(2), 159. https://doi.org/10.24014/kjiece.v2i2.8090</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Solfiah, Y. S., Risma, D., Hukmi, &amp; Kurnia, R. (2020). Early Childhood Disaster Management Media Through Picture Story Books. </w:t>
      </w:r>
      <w:r>
        <w:rPr>
          <w:rFonts w:ascii="Times New Roman" w:hAnsi="Times New Roman" w:cs="Times New Roman"/>
          <w:i/>
          <w:iCs/>
          <w:sz w:val="24"/>
          <w:szCs w:val="24"/>
        </w:rPr>
        <w:t>JPUD - Jurnal Pendidikan Usia Dini</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(1), 141–155. https://doi.org/10.21009/141.10</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Syarah, E. S. (2020). </w:t>
      </w:r>
      <w:r>
        <w:rPr>
          <w:rFonts w:ascii="Times New Roman" w:hAnsi="Times New Roman" w:cs="Times New Roman"/>
          <w:i/>
          <w:iCs/>
          <w:sz w:val="24"/>
          <w:szCs w:val="24"/>
        </w:rPr>
        <w:t>Understanding Teacher's Perspectives in Media Literacy Education as an Empowerment Instrument of Blended Learning in Early Childhood Classroom</w:t>
      </w:r>
      <w:r>
        <w:rPr>
          <w:rFonts w:ascii="Times New Roman" w:hAnsi="Times New Roman" w:cs="Times New Roman"/>
          <w:sz w:val="24"/>
          <w:szCs w:val="24"/>
        </w:rPr>
        <w:t xml:space="preserve">. </w:t>
      </w:r>
      <w:r>
        <w:rPr>
          <w:rFonts w:ascii="Times New Roman" w:hAnsi="Times New Roman" w:cs="Times New Roman"/>
          <w:i/>
          <w:iCs/>
          <w:sz w:val="24"/>
          <w:szCs w:val="24"/>
        </w:rPr>
        <w:t>14</w:t>
      </w:r>
      <w:r>
        <w:rPr>
          <w:rFonts w:ascii="Times New Roman" w:hAnsi="Times New Roman" w:cs="Times New Roman"/>
          <w:sz w:val="24"/>
          <w:szCs w:val="24"/>
        </w:rPr>
        <w:t>(2).</w:t>
      </w:r>
    </w:p>
    <w:p>
      <w:pPr>
        <w:widowControl w:val="0"/>
        <w:autoSpaceDE w:val="0"/>
        <w:autoSpaceDN w:val="0"/>
        <w:adjustRightInd w:val="0"/>
        <w:spacing w:after="0" w:line="240" w:lineRule="auto"/>
        <w:ind w:left="480" w:hanging="480"/>
        <w:rPr>
          <w:rFonts w:ascii="Times New Roman" w:hAnsi="Times New Roman" w:cs="Times New Roman"/>
          <w:sz w:val="24"/>
          <w:szCs w:val="24"/>
        </w:rPr>
      </w:pPr>
      <w:r>
        <w:rPr>
          <w:rFonts w:ascii="Times New Roman" w:hAnsi="Times New Roman" w:cs="Times New Roman"/>
          <w:sz w:val="24"/>
          <w:szCs w:val="24"/>
        </w:rPr>
        <w:t xml:space="preserve">Winarni, E. W., &amp; Purwandari, E. P. (2018). Disaster Risk Reduction for Earthquake Using Mobile Learning Application to Improve the Students Understanding in Elementary School. </w:t>
      </w:r>
      <w:r>
        <w:rPr>
          <w:rFonts w:ascii="Times New Roman" w:hAnsi="Times New Roman" w:cs="Times New Roman"/>
          <w:i/>
          <w:iCs/>
          <w:sz w:val="24"/>
          <w:szCs w:val="24"/>
        </w:rPr>
        <w:t>Mediterranean Journal of Social Sciences</w:t>
      </w:r>
      <w:r>
        <w:rPr>
          <w:rFonts w:ascii="Times New Roman" w:hAnsi="Times New Roman" w:cs="Times New Roman"/>
          <w:sz w:val="24"/>
          <w:szCs w:val="24"/>
        </w:rPr>
        <w:t xml:space="preserve">, </w:t>
      </w:r>
      <w:r>
        <w:rPr>
          <w:rFonts w:ascii="Times New Roman" w:hAnsi="Times New Roman" w:cs="Times New Roman"/>
          <w:i/>
          <w:iCs/>
          <w:sz w:val="24"/>
          <w:szCs w:val="24"/>
        </w:rPr>
        <w:t>9</w:t>
      </w:r>
      <w:r>
        <w:rPr>
          <w:rFonts w:ascii="Times New Roman" w:hAnsi="Times New Roman" w:cs="Times New Roman"/>
          <w:sz w:val="24"/>
          <w:szCs w:val="24"/>
        </w:rPr>
        <w:t>(2), 205–214. https://doi.org/10.2478/mjss-2018-0040</w:t>
      </w:r>
    </w:p>
    <w:p>
      <w:pPr>
        <w:widowControl w:val="0"/>
        <w:autoSpaceDE w:val="0"/>
        <w:autoSpaceDN w:val="0"/>
        <w:adjustRightInd w:val="0"/>
        <w:spacing w:after="0" w:line="240" w:lineRule="auto"/>
        <w:ind w:left="480" w:hanging="480"/>
        <w:rPr>
          <w:rFonts w:ascii="Times New Roman" w:hAnsi="Times New Roman" w:cs="Times New Roman"/>
          <w:sz w:val="24"/>
        </w:rPr>
      </w:pPr>
      <w:r>
        <w:rPr>
          <w:rFonts w:ascii="Times New Roman" w:hAnsi="Times New Roman" w:cs="Times New Roman"/>
          <w:sz w:val="24"/>
          <w:szCs w:val="24"/>
        </w:rPr>
        <w:t xml:space="preserve">Zuama, S. N., &amp; Agusniatih, A. (2020). </w:t>
      </w:r>
      <w:r>
        <w:rPr>
          <w:rFonts w:ascii="Times New Roman" w:hAnsi="Times New Roman" w:cs="Times New Roman"/>
          <w:i/>
          <w:iCs/>
          <w:sz w:val="24"/>
          <w:szCs w:val="24"/>
        </w:rPr>
        <w:t>Disaster Mitigation Game Model Used For Circuit Game of Liquefaction as a Children’s Learning Resource in West Palu District</w:t>
      </w:r>
      <w:r>
        <w:rPr>
          <w:rFonts w:ascii="Times New Roman" w:hAnsi="Times New Roman" w:cs="Times New Roman"/>
          <w:sz w:val="24"/>
          <w:szCs w:val="24"/>
        </w:rPr>
        <w:t xml:space="preserve">. </w:t>
      </w:r>
      <w:r>
        <w:rPr>
          <w:rFonts w:ascii="Times New Roman" w:hAnsi="Times New Roman" w:cs="Times New Roman"/>
          <w:i/>
          <w:iCs/>
          <w:sz w:val="24"/>
          <w:szCs w:val="24"/>
        </w:rPr>
        <w:t>454</w:t>
      </w:r>
      <w:r>
        <w:rPr>
          <w:rFonts w:ascii="Times New Roman" w:hAnsi="Times New Roman" w:cs="Times New Roman"/>
          <w:sz w:val="24"/>
          <w:szCs w:val="24"/>
        </w:rPr>
        <w:t>(Ecep 2019), 228–233. https://doi.org/10.2991/assehr.k.200808.045</w:t>
      </w:r>
    </w:p>
    <w:p>
      <w:pPr>
        <w:pStyle w:val="4"/>
        <w:ind w:right="28"/>
        <w:jc w:val="both"/>
        <w:rPr>
          <w:rFonts w:ascii="Times New Roman" w:hAnsi="Times New Roman" w:cs="Times New Roman"/>
          <w:sz w:val="24"/>
          <w:szCs w:val="24"/>
          <w:lang w:val="id-ID"/>
        </w:rPr>
        <w:sectPr>
          <w:type w:val="continuous"/>
          <w:pgSz w:w="11906" w:h="16838"/>
          <w:pgMar w:top="2268" w:right="1701" w:bottom="1701" w:left="1701" w:header="708" w:footer="708" w:gutter="0"/>
          <w:cols w:space="708" w:num="1"/>
          <w:docGrid w:linePitch="360" w:charSpace="0"/>
        </w:sectPr>
      </w:pPr>
      <w:r>
        <w:rPr>
          <w:rFonts w:ascii="Times New Roman" w:hAnsi="Times New Roman" w:cs="Times New Roman"/>
          <w:sz w:val="24"/>
          <w:szCs w:val="24"/>
          <w:lang w:val="id-ID"/>
        </w:rPr>
        <w:fldChar w:fldCharType="end"/>
      </w:r>
    </w:p>
    <w:bookmarkEnd w:id="0"/>
    <w:p>
      <w:pPr>
        <w:spacing w:line="360" w:lineRule="auto"/>
        <w:rPr>
          <w:rFonts w:ascii="Times New Roman" w:hAnsi="Times New Roman" w:cs="Times New Roman"/>
          <w:sz w:val="24"/>
          <w:szCs w:val="24"/>
          <w:lang w:val="en-US"/>
        </w:rPr>
      </w:pPr>
    </w:p>
    <w:sectPr>
      <w:type w:val="continuous"/>
      <w:pgSz w:w="11906" w:h="16838"/>
      <w:pgMar w:top="2268" w:right="1701" w:bottom="1701" w:left="1701" w:header="709" w:footer="709" w:gutter="0"/>
      <w:cols w:space="720"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Palatino">
    <w:altName w:val="Book Antiqua"/>
    <w:panose1 w:val="00000000000000000000"/>
    <w:charset w:val="00"/>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80"/>
        <w:tab w:val="right" w:pos="9360"/>
      </w:tabs>
      <w:spacing w:after="0" w:line="276" w:lineRule="auto"/>
      <w:jc w:val="center"/>
      <w:rPr>
        <w:rFonts w:ascii="Arial" w:hAnsi="Arial" w:eastAsia="Arial" w:cs="Arial"/>
        <w:i/>
        <w:sz w:val="18"/>
        <w:szCs w:val="18"/>
      </w:rPr>
    </w:pPr>
    <w:r>
      <w:rPr>
        <w:rFonts w:ascii="Arial" w:hAnsi="Arial" w:eastAsia="Arial" w:cs="Arial"/>
        <w:i/>
        <w:sz w:val="18"/>
        <w:szCs w:val="18"/>
      </w:rPr>
      <w:t>The 2</w:t>
    </w:r>
    <w:r>
      <w:rPr>
        <w:rFonts w:ascii="Arial" w:hAnsi="Arial" w:eastAsia="Arial" w:cs="Arial"/>
        <w:i/>
        <w:sz w:val="18"/>
        <w:szCs w:val="18"/>
        <w:vertAlign w:val="superscript"/>
      </w:rPr>
      <w:t xml:space="preserve">nd </w:t>
    </w:r>
    <w:r>
      <w:rPr>
        <w:rFonts w:ascii="Arial" w:hAnsi="Arial" w:eastAsia="Arial" w:cs="Arial"/>
        <w:i/>
        <w:sz w:val="18"/>
        <w:szCs w:val="18"/>
      </w:rPr>
      <w:t>International Conference on Innovation</w:t>
    </w:r>
  </w:p>
  <w:p>
    <w:pPr>
      <w:tabs>
        <w:tab w:val="center" w:pos="4680"/>
        <w:tab w:val="right" w:pos="9360"/>
      </w:tabs>
      <w:spacing w:after="0" w:line="276" w:lineRule="auto"/>
      <w:jc w:val="center"/>
      <w:rPr>
        <w:rFonts w:ascii="Arial" w:hAnsi="Arial" w:eastAsia="Arial" w:cs="Arial"/>
        <w:i/>
        <w:sz w:val="18"/>
        <w:szCs w:val="18"/>
      </w:rPr>
    </w:pPr>
    <w:r>
      <w:rPr>
        <w:rFonts w:ascii="Arial" w:hAnsi="Arial" w:eastAsia="Arial" w:cs="Arial"/>
        <w:i/>
        <w:sz w:val="18"/>
        <w:szCs w:val="18"/>
      </w:rPr>
      <w:t>in Social Sciences Education and Engineering ( ICoISSEE )</w:t>
    </w:r>
  </w:p>
  <w:p>
    <w:pPr>
      <w:tabs>
        <w:tab w:val="center" w:pos="4680"/>
        <w:tab w:val="right" w:pos="9360"/>
      </w:tabs>
      <w:spacing w:after="0" w:line="240" w:lineRule="auto"/>
      <w:jc w:val="center"/>
    </w:pPr>
    <w:r>
      <w:rPr>
        <w:rFonts w:ascii="Arial" w:hAnsi="Arial" w:eastAsia="Arial" w:cs="Arial"/>
        <w:i/>
        <w:sz w:val="18"/>
        <w:szCs w:val="18"/>
      </w:rPr>
      <w:t>August 07</w:t>
    </w:r>
    <w:r>
      <w:rPr>
        <w:rFonts w:ascii="Arial" w:hAnsi="Arial" w:eastAsia="Arial" w:cs="Arial"/>
        <w:i/>
        <w:sz w:val="18"/>
        <w:szCs w:val="18"/>
        <w:vertAlign w:val="superscript"/>
      </w:rPr>
      <w:t>th</w:t>
    </w:r>
    <w:r>
      <w:rPr>
        <w:rFonts w:ascii="Arial" w:hAnsi="Arial" w:eastAsia="Arial" w:cs="Arial"/>
        <w:i/>
        <w:sz w:val="18"/>
        <w:szCs w:val="18"/>
      </w:rPr>
      <w:t>,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F788D"/>
    <w:multiLevelType w:val="multilevel"/>
    <w:tmpl w:val="035F788D"/>
    <w:lvl w:ilvl="0" w:tentative="0">
      <w:start w:val="1"/>
      <w:numFmt w:val="decimal"/>
      <w:lvlText w:val="%1."/>
      <w:lvlJc w:val="left"/>
      <w:pPr>
        <w:ind w:left="720" w:hanging="360"/>
      </w:pPr>
      <w:rPr>
        <w:rFonts w:hint="default"/>
        <w:b/>
        <w:bCs/>
      </w:rPr>
    </w:lvl>
    <w:lvl w:ilvl="1" w:tentative="0">
      <w:start w:val="2"/>
      <w:numFmt w:val="decimal"/>
      <w:isLgl/>
      <w:lvlText w:val="%1.%2"/>
      <w:lvlJc w:val="left"/>
      <w:pPr>
        <w:ind w:left="720" w:hanging="360"/>
      </w:pPr>
      <w:rPr>
        <w:rFonts w:hint="default"/>
        <w:b/>
        <w:color w:val="000000"/>
      </w:rPr>
    </w:lvl>
    <w:lvl w:ilvl="2" w:tentative="0">
      <w:start w:val="1"/>
      <w:numFmt w:val="decimal"/>
      <w:isLgl/>
      <w:lvlText w:val="%1.%2.%3"/>
      <w:lvlJc w:val="left"/>
      <w:pPr>
        <w:ind w:left="1080" w:hanging="720"/>
      </w:pPr>
      <w:rPr>
        <w:rFonts w:hint="default"/>
        <w:b/>
        <w:color w:val="000000"/>
      </w:rPr>
    </w:lvl>
    <w:lvl w:ilvl="3" w:tentative="0">
      <w:start w:val="1"/>
      <w:numFmt w:val="decimal"/>
      <w:isLgl/>
      <w:lvlText w:val="%1.%2.%3.%4"/>
      <w:lvlJc w:val="left"/>
      <w:pPr>
        <w:ind w:left="1080" w:hanging="720"/>
      </w:pPr>
      <w:rPr>
        <w:rFonts w:hint="default"/>
        <w:b/>
        <w:color w:val="000000"/>
      </w:rPr>
    </w:lvl>
    <w:lvl w:ilvl="4" w:tentative="0">
      <w:start w:val="1"/>
      <w:numFmt w:val="decimal"/>
      <w:isLgl/>
      <w:lvlText w:val="%1.%2.%3.%4.%5"/>
      <w:lvlJc w:val="left"/>
      <w:pPr>
        <w:ind w:left="1440" w:hanging="1080"/>
      </w:pPr>
      <w:rPr>
        <w:rFonts w:hint="default"/>
        <w:b/>
        <w:color w:val="000000"/>
      </w:rPr>
    </w:lvl>
    <w:lvl w:ilvl="5" w:tentative="0">
      <w:start w:val="1"/>
      <w:numFmt w:val="decimal"/>
      <w:isLgl/>
      <w:lvlText w:val="%1.%2.%3.%4.%5.%6"/>
      <w:lvlJc w:val="left"/>
      <w:pPr>
        <w:ind w:left="1440" w:hanging="1080"/>
      </w:pPr>
      <w:rPr>
        <w:rFonts w:hint="default"/>
        <w:b/>
        <w:color w:val="000000"/>
      </w:rPr>
    </w:lvl>
    <w:lvl w:ilvl="6" w:tentative="0">
      <w:start w:val="1"/>
      <w:numFmt w:val="decimal"/>
      <w:isLgl/>
      <w:lvlText w:val="%1.%2.%3.%4.%5.%6.%7"/>
      <w:lvlJc w:val="left"/>
      <w:pPr>
        <w:ind w:left="1800" w:hanging="1440"/>
      </w:pPr>
      <w:rPr>
        <w:rFonts w:hint="default"/>
        <w:b/>
        <w:color w:val="000000"/>
      </w:rPr>
    </w:lvl>
    <w:lvl w:ilvl="7" w:tentative="0">
      <w:start w:val="1"/>
      <w:numFmt w:val="decimal"/>
      <w:isLgl/>
      <w:lvlText w:val="%1.%2.%3.%4.%5.%6.%7.%8"/>
      <w:lvlJc w:val="left"/>
      <w:pPr>
        <w:ind w:left="1800" w:hanging="1440"/>
      </w:pPr>
      <w:rPr>
        <w:rFonts w:hint="default"/>
        <w:b/>
        <w:color w:val="000000"/>
      </w:rPr>
    </w:lvl>
    <w:lvl w:ilvl="8" w:tentative="0">
      <w:start w:val="1"/>
      <w:numFmt w:val="decimal"/>
      <w:isLgl/>
      <w:lvlText w:val="%1.%2.%3.%4.%5.%6.%7.%8.%9"/>
      <w:lvlJc w:val="left"/>
      <w:pPr>
        <w:ind w:left="2160" w:hanging="1800"/>
      </w:pPr>
      <w:rPr>
        <w:rFonts w:hint="default"/>
        <w:b/>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F2"/>
    <w:rsid w:val="000B737F"/>
    <w:rsid w:val="000C28CB"/>
    <w:rsid w:val="000E7463"/>
    <w:rsid w:val="00114387"/>
    <w:rsid w:val="0014032A"/>
    <w:rsid w:val="0022787A"/>
    <w:rsid w:val="002C705C"/>
    <w:rsid w:val="002F2255"/>
    <w:rsid w:val="003420B8"/>
    <w:rsid w:val="00373796"/>
    <w:rsid w:val="003906FA"/>
    <w:rsid w:val="0039167A"/>
    <w:rsid w:val="00465338"/>
    <w:rsid w:val="00486044"/>
    <w:rsid w:val="004A03FC"/>
    <w:rsid w:val="004B18DD"/>
    <w:rsid w:val="004D57EC"/>
    <w:rsid w:val="00545953"/>
    <w:rsid w:val="005523EB"/>
    <w:rsid w:val="005D264A"/>
    <w:rsid w:val="005E1F14"/>
    <w:rsid w:val="00602910"/>
    <w:rsid w:val="00606B7A"/>
    <w:rsid w:val="00614EE2"/>
    <w:rsid w:val="00624339"/>
    <w:rsid w:val="006F17A4"/>
    <w:rsid w:val="007823EB"/>
    <w:rsid w:val="00785084"/>
    <w:rsid w:val="007E25A3"/>
    <w:rsid w:val="00815CDE"/>
    <w:rsid w:val="00823481"/>
    <w:rsid w:val="00830038"/>
    <w:rsid w:val="009316AD"/>
    <w:rsid w:val="00933F7F"/>
    <w:rsid w:val="00935A85"/>
    <w:rsid w:val="00994104"/>
    <w:rsid w:val="0099787D"/>
    <w:rsid w:val="009A6E93"/>
    <w:rsid w:val="009C675D"/>
    <w:rsid w:val="00A2586B"/>
    <w:rsid w:val="00A63351"/>
    <w:rsid w:val="00BB62BF"/>
    <w:rsid w:val="00BD111D"/>
    <w:rsid w:val="00C06148"/>
    <w:rsid w:val="00C42382"/>
    <w:rsid w:val="00C7187E"/>
    <w:rsid w:val="00C72C7F"/>
    <w:rsid w:val="00C72E88"/>
    <w:rsid w:val="00CD62DF"/>
    <w:rsid w:val="00D06E21"/>
    <w:rsid w:val="00D3662E"/>
    <w:rsid w:val="00D40882"/>
    <w:rsid w:val="00DA1682"/>
    <w:rsid w:val="00E03400"/>
    <w:rsid w:val="00E308DA"/>
    <w:rsid w:val="00E60991"/>
    <w:rsid w:val="00E804B7"/>
    <w:rsid w:val="00E837EF"/>
    <w:rsid w:val="00ED376E"/>
    <w:rsid w:val="00ED6BF2"/>
    <w:rsid w:val="00F04448"/>
    <w:rsid w:val="00F111EE"/>
    <w:rsid w:val="00F32AB7"/>
    <w:rsid w:val="00F72088"/>
    <w:rsid w:val="00F72DEA"/>
    <w:rsid w:val="00FC558A"/>
    <w:rsid w:val="00FF711C"/>
    <w:rsid w:val="781F52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9"/>
    <w:qFormat/>
    <w:uiPriority w:val="1"/>
    <w:pPr>
      <w:widowControl w:val="0"/>
      <w:autoSpaceDE w:val="0"/>
      <w:autoSpaceDN w:val="0"/>
      <w:spacing w:after="0" w:line="240" w:lineRule="auto"/>
    </w:pPr>
    <w:rPr>
      <w:rFonts w:ascii="Cambria" w:hAnsi="Cambria" w:cs="Cambria" w:eastAsiaTheme="minorEastAsia"/>
      <w:lang w:val="en-US"/>
    </w:rPr>
  </w:style>
  <w:style w:type="paragraph" w:styleId="5">
    <w:name w:val="footer"/>
    <w:basedOn w:val="1"/>
    <w:link w:val="12"/>
    <w:unhideWhenUsed/>
    <w:qFormat/>
    <w:uiPriority w:val="99"/>
    <w:pPr>
      <w:tabs>
        <w:tab w:val="center" w:pos="4680"/>
        <w:tab w:val="right" w:pos="9360"/>
      </w:tabs>
      <w:spacing w:after="0" w:line="240" w:lineRule="auto"/>
    </w:pPr>
  </w:style>
  <w:style w:type="paragraph" w:styleId="6">
    <w:name w:val="header"/>
    <w:basedOn w:val="1"/>
    <w:link w:val="13"/>
    <w:unhideWhenUsed/>
    <w:qFormat/>
    <w:uiPriority w:val="99"/>
    <w:pPr>
      <w:tabs>
        <w:tab w:val="center" w:pos="4153"/>
        <w:tab w:val="right" w:pos="8306"/>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table" w:styleId="8">
    <w:name w:val="Table Grid"/>
    <w:basedOn w:val="3"/>
    <w:qFormat/>
    <w:uiPriority w:val="59"/>
    <w:pPr>
      <w:spacing w:after="0" w:line="240" w:lineRule="auto"/>
    </w:pPr>
    <w:rPr>
      <w:rFonts w:cs="Times New Roman" w:eastAsiaTheme="minorEastAsia"/>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ody Text Char"/>
    <w:basedOn w:val="2"/>
    <w:link w:val="4"/>
    <w:qFormat/>
    <w:uiPriority w:val="1"/>
    <w:rPr>
      <w:rFonts w:ascii="Cambria" w:hAnsi="Cambria" w:cs="Cambria" w:eastAsiaTheme="minorEastAsia"/>
    </w:rPr>
  </w:style>
  <w:style w:type="paragraph" w:styleId="10">
    <w:name w:val="List Paragraph"/>
    <w:basedOn w:val="1"/>
    <w:link w:val="11"/>
    <w:qFormat/>
    <w:uiPriority w:val="34"/>
    <w:pPr>
      <w:spacing w:after="200" w:line="276" w:lineRule="auto"/>
      <w:ind w:left="720"/>
      <w:contextualSpacing/>
    </w:pPr>
  </w:style>
  <w:style w:type="character" w:customStyle="1" w:styleId="11">
    <w:name w:val="List Paragraph Char"/>
    <w:link w:val="10"/>
    <w:qFormat/>
    <w:locked/>
    <w:uiPriority w:val="34"/>
    <w:rPr>
      <w:lang w:val="id-ID"/>
    </w:rPr>
  </w:style>
  <w:style w:type="character" w:customStyle="1" w:styleId="12">
    <w:name w:val="Footer Char"/>
    <w:basedOn w:val="2"/>
    <w:link w:val="5"/>
    <w:qFormat/>
    <w:uiPriority w:val="99"/>
    <w:rPr>
      <w:lang w:val="id-ID"/>
    </w:rPr>
  </w:style>
  <w:style w:type="character" w:customStyle="1" w:styleId="13">
    <w:name w:val="Header Char"/>
    <w:basedOn w:val="2"/>
    <w:link w:val="6"/>
    <w:qFormat/>
    <w:uiPriority w:val="99"/>
    <w:rPr>
      <w:lang w:val="id-ID"/>
    </w:rPr>
  </w:style>
  <w:style w:type="character" w:customStyle="1" w:styleId="14">
    <w:name w:val="Unresolved Mention1"/>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AC9A7C-00B3-4597-A649-23E11DCC8A1F}">
  <ds:schemaRefs/>
</ds:datastoreItem>
</file>

<file path=docProps/app.xml><?xml version="1.0" encoding="utf-8"?>
<Properties xmlns="http://schemas.openxmlformats.org/officeDocument/2006/extended-properties" xmlns:vt="http://schemas.openxmlformats.org/officeDocument/2006/docPropsVTypes">
  <Template>Normal</Template>
  <Pages>9</Pages>
  <Words>8552</Words>
  <Characters>48752</Characters>
  <Lines>406</Lines>
  <Paragraphs>114</Paragraphs>
  <TotalTime>395</TotalTime>
  <ScaleCrop>false</ScaleCrop>
  <LinksUpToDate>false</LinksUpToDate>
  <CharactersWithSpaces>57190</CharactersWithSpaces>
  <Application>WPS Office_11.2.0.10265_F1E327BC-269C-435d-A152-05C5408002CA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2021-01-08T23:08:00Z</dcterms:created>
  <dc:creator>ACER</dc:creator>
  <cp:lastModifiedBy>ASUS</cp:lastModifiedBy>
  <dcterms:modified xsi:type="dcterms:W3CDTF">2021-09-10T07:02:55Z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83055fdf-5173-3921-97d0-6735389a848d</vt:lpwstr>
  </property>
  <property fmtid="{D5CDD505-2E9C-101B-9397-08002B2CF9AE}" pid="25" name="KSOProductBuildVer">
    <vt:lpwstr>1033-11.2.0.10265</vt:lpwstr>
  </property>
  <property fmtid="{D5CDD505-2E9C-101B-9397-08002B2CF9AE}" pid="26" name="ICV">
    <vt:lpwstr>56CE0B18C557419C91F6EC315DC973DA</vt:lpwstr>
  </property>
</Properties>
</file>